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7012" w14:textId="77777777" w:rsidR="006C4CF6" w:rsidRPr="00B31702" w:rsidRDefault="006C4CF6">
      <w:pPr>
        <w:autoSpaceDE w:val="0"/>
        <w:autoSpaceDN w:val="0"/>
        <w:adjustRightInd w:val="0"/>
        <w:spacing w:after="0" w:line="240" w:lineRule="auto"/>
        <w:rPr>
          <w:rFonts w:ascii="Arial" w:hAnsi="Arial" w:cs="Arial"/>
          <w:b/>
          <w:bCs/>
          <w:sz w:val="24"/>
          <w:szCs w:val="24"/>
          <w:lang w:eastAsia="en-GB"/>
        </w:rPr>
      </w:pPr>
    </w:p>
    <w:p w14:paraId="49327013" w14:textId="5554CB03" w:rsidR="00D417E2" w:rsidRPr="00400CE6" w:rsidRDefault="00D417E2" w:rsidP="00D417E2">
      <w:pPr>
        <w:pStyle w:val="GPSSchTitleandNumber"/>
        <w:jc w:val="left"/>
        <w:rPr>
          <w:rFonts w:ascii="Arial" w:hAnsi="Arial" w:cs="Arial"/>
          <w:caps w:val="0"/>
          <w:sz w:val="36"/>
          <w:szCs w:val="36"/>
        </w:rPr>
      </w:pPr>
      <w:r w:rsidRPr="00400CE6">
        <w:rPr>
          <w:rFonts w:ascii="Arial" w:hAnsi="Arial" w:cs="Arial"/>
          <w:caps w:val="0"/>
          <w:sz w:val="36"/>
          <w:szCs w:val="36"/>
        </w:rPr>
        <w:t>Call-Off Schedule 10</w:t>
      </w:r>
      <w:r w:rsidR="007269F5">
        <w:rPr>
          <w:rFonts w:ascii="Arial" w:hAnsi="Arial" w:cs="Arial"/>
          <w:caps w:val="0"/>
          <w:sz w:val="36"/>
          <w:szCs w:val="36"/>
        </w:rPr>
        <w:t>A</w:t>
      </w:r>
      <w:r w:rsidRPr="00400CE6">
        <w:rPr>
          <w:rFonts w:ascii="Arial" w:hAnsi="Arial" w:cs="Arial"/>
          <w:caps w:val="0"/>
          <w:sz w:val="36"/>
          <w:szCs w:val="36"/>
        </w:rPr>
        <w:t xml:space="preserve"> (</w:t>
      </w:r>
      <w:r w:rsidR="008006EE">
        <w:rPr>
          <w:rFonts w:ascii="Arial" w:hAnsi="Arial" w:cs="Arial"/>
          <w:caps w:val="0"/>
          <w:sz w:val="36"/>
          <w:szCs w:val="36"/>
        </w:rPr>
        <w:t xml:space="preserve">Health </w:t>
      </w:r>
      <w:r w:rsidRPr="00400CE6">
        <w:rPr>
          <w:rFonts w:ascii="Arial" w:hAnsi="Arial" w:cs="Arial"/>
          <w:caps w:val="0"/>
          <w:sz w:val="36"/>
          <w:szCs w:val="36"/>
        </w:rPr>
        <w:t>Exit Management)</w:t>
      </w:r>
    </w:p>
    <w:p w14:paraId="49327014" w14:textId="77777777" w:rsidR="006C4CF6" w:rsidRPr="00FE5DF9" w:rsidRDefault="006C4CF6" w:rsidP="00E74D9B">
      <w:pPr>
        <w:pStyle w:val="GPSL1SCHEDULEHeading"/>
        <w:keepNext/>
        <w:numPr>
          <w:ilvl w:val="0"/>
          <w:numId w:val="0"/>
        </w:numPr>
        <w:ind w:left="360" w:hanging="360"/>
        <w:jc w:val="left"/>
        <w:rPr>
          <w:rFonts w:ascii="Arial" w:hAnsi="Arial"/>
          <w:sz w:val="24"/>
          <w:szCs w:val="24"/>
        </w:rPr>
      </w:pPr>
    </w:p>
    <w:p w14:paraId="49327015" w14:textId="77777777" w:rsidR="00C35696" w:rsidRDefault="00594E8B" w:rsidP="005148CC">
      <w:pPr>
        <w:pStyle w:val="Heading1"/>
        <w:keepNext w:val="0"/>
        <w:keepLines w:val="0"/>
        <w:widowControl w:val="0"/>
      </w:pPr>
      <w:bookmarkStart w:id="0" w:name="_Toc32593568"/>
      <w:r w:rsidRPr="00FE5DF9">
        <w:t>Definitions</w:t>
      </w:r>
    </w:p>
    <w:p w14:paraId="49327017" w14:textId="4FE339AB" w:rsidR="00594E8B" w:rsidRPr="00E07B3C" w:rsidRDefault="00594E8B" w:rsidP="005148CC">
      <w:pPr>
        <w:pStyle w:val="Heading2"/>
        <w:keepNext w:val="0"/>
        <w:keepLines w:val="0"/>
        <w:widowControl w:val="0"/>
      </w:pPr>
      <w:bookmarkStart w:id="1" w:name="_Ref492645326"/>
      <w:r w:rsidRPr="00E07B3C">
        <w:t>In this Schedule, the following words shall have the following meanings and they shall supplement Joint Schedule 1 (Definitions):</w:t>
      </w:r>
      <w:bookmarkEnd w:id="1"/>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6181"/>
      </w:tblGrid>
      <w:tr w:rsidR="00E07B3C" w:rsidRPr="00E07B3C" w14:paraId="35A7A42D" w14:textId="77777777" w:rsidTr="00E07B3C">
        <w:tc>
          <w:tcPr>
            <w:tcW w:w="2126" w:type="dxa"/>
          </w:tcPr>
          <w:p w14:paraId="236AD224" w14:textId="2A88C592" w:rsidR="00E07B3C" w:rsidRPr="00E07B3C" w:rsidRDefault="00E07B3C" w:rsidP="00DF3FDD">
            <w:pPr>
              <w:pStyle w:val="GPSL2Numbered"/>
              <w:widowControl w:val="0"/>
              <w:tabs>
                <w:tab w:val="left" w:pos="1134"/>
              </w:tabs>
              <w:spacing w:line="276" w:lineRule="auto"/>
              <w:jc w:val="left"/>
              <w:rPr>
                <w:rFonts w:ascii="Arial" w:hAnsi="Arial"/>
                <w:b/>
                <w:sz w:val="24"/>
                <w:szCs w:val="24"/>
              </w:rPr>
            </w:pPr>
            <w:r w:rsidRPr="00E07B3C">
              <w:rPr>
                <w:rFonts w:ascii="Arial" w:hAnsi="Arial"/>
                <w:b/>
                <w:sz w:val="24"/>
                <w:szCs w:val="24"/>
              </w:rPr>
              <w:t>“Exit Plan”</w:t>
            </w:r>
          </w:p>
        </w:tc>
        <w:tc>
          <w:tcPr>
            <w:tcW w:w="6181" w:type="dxa"/>
          </w:tcPr>
          <w:p w14:paraId="4758D31C" w14:textId="6EFA284E" w:rsidR="00E07B3C" w:rsidRPr="00E07B3C" w:rsidRDefault="00E07B3C" w:rsidP="00DF3FDD">
            <w:pPr>
              <w:pStyle w:val="GPSL2Numbered"/>
              <w:widowControl w:val="0"/>
              <w:tabs>
                <w:tab w:val="left" w:pos="1134"/>
              </w:tabs>
              <w:spacing w:line="276" w:lineRule="auto"/>
              <w:jc w:val="left"/>
              <w:rPr>
                <w:rFonts w:ascii="Arial" w:hAnsi="Arial"/>
                <w:sz w:val="24"/>
                <w:szCs w:val="24"/>
              </w:rPr>
            </w:pPr>
            <w:r w:rsidRPr="00E07B3C">
              <w:rPr>
                <w:rFonts w:ascii="Arial" w:hAnsi="Arial"/>
                <w:sz w:val="24"/>
                <w:szCs w:val="24"/>
              </w:rPr>
              <w:t>means the Exit Plan to be agreed by the parties in accordance with the provisions of Call-Off Schedule 10</w:t>
            </w:r>
            <w:r w:rsidR="00EF670F">
              <w:rPr>
                <w:rFonts w:ascii="Arial" w:hAnsi="Arial"/>
                <w:sz w:val="24"/>
                <w:szCs w:val="24"/>
              </w:rPr>
              <w:t>A</w:t>
            </w:r>
            <w:r w:rsidRPr="00E07B3C">
              <w:rPr>
                <w:rFonts w:ascii="Arial" w:hAnsi="Arial"/>
                <w:sz w:val="24"/>
                <w:szCs w:val="24"/>
              </w:rPr>
              <w:t>; and</w:t>
            </w:r>
          </w:p>
        </w:tc>
      </w:tr>
      <w:tr w:rsidR="00E07B3C" w:rsidRPr="00E07B3C" w14:paraId="19706AE1" w14:textId="77777777" w:rsidTr="00E07B3C">
        <w:tc>
          <w:tcPr>
            <w:tcW w:w="2126" w:type="dxa"/>
          </w:tcPr>
          <w:p w14:paraId="41B9FB53" w14:textId="0E43D1B5" w:rsidR="00E07B3C" w:rsidRPr="00E07B3C" w:rsidRDefault="00E07B3C" w:rsidP="00DF3FDD">
            <w:pPr>
              <w:pStyle w:val="GPSL2Numbered"/>
              <w:widowControl w:val="0"/>
              <w:tabs>
                <w:tab w:val="left" w:pos="1134"/>
              </w:tabs>
              <w:spacing w:line="276" w:lineRule="auto"/>
              <w:jc w:val="left"/>
              <w:rPr>
                <w:rFonts w:ascii="Arial" w:hAnsi="Arial"/>
                <w:b/>
                <w:sz w:val="24"/>
                <w:szCs w:val="24"/>
              </w:rPr>
            </w:pPr>
            <w:r w:rsidRPr="00E07B3C">
              <w:rPr>
                <w:rFonts w:ascii="Arial" w:hAnsi="Arial"/>
                <w:b/>
                <w:sz w:val="24"/>
                <w:szCs w:val="24"/>
              </w:rPr>
              <w:t>“Final Exit Plan</w:t>
            </w:r>
            <w:r w:rsidRPr="00E07B3C">
              <w:rPr>
                <w:rFonts w:ascii="Arial" w:hAnsi="Arial"/>
                <w:sz w:val="24"/>
                <w:szCs w:val="24"/>
              </w:rPr>
              <w:t>”</w:t>
            </w:r>
          </w:p>
        </w:tc>
        <w:tc>
          <w:tcPr>
            <w:tcW w:w="6181" w:type="dxa"/>
          </w:tcPr>
          <w:p w14:paraId="7B52255D" w14:textId="1D3FE5C5" w:rsidR="00E07B3C" w:rsidRPr="00E07B3C" w:rsidRDefault="00E07B3C" w:rsidP="00DF3FDD">
            <w:pPr>
              <w:pStyle w:val="GPSL2Numbered"/>
              <w:widowControl w:val="0"/>
              <w:tabs>
                <w:tab w:val="left" w:pos="1134"/>
              </w:tabs>
              <w:spacing w:line="276" w:lineRule="auto"/>
              <w:jc w:val="left"/>
              <w:rPr>
                <w:rFonts w:ascii="Arial" w:hAnsi="Arial"/>
                <w:sz w:val="24"/>
                <w:szCs w:val="24"/>
              </w:rPr>
            </w:pPr>
            <w:r w:rsidRPr="00E07B3C">
              <w:rPr>
                <w:rFonts w:ascii="Arial" w:hAnsi="Arial"/>
                <w:sz w:val="24"/>
                <w:szCs w:val="24"/>
              </w:rPr>
              <w:t xml:space="preserve">has the meaning given to it in paragraph </w:t>
            </w:r>
            <w:r w:rsidR="00880EFA">
              <w:rPr>
                <w:rFonts w:ascii="Arial" w:hAnsi="Arial"/>
                <w:sz w:val="24"/>
                <w:szCs w:val="24"/>
              </w:rPr>
              <w:fldChar w:fldCharType="begin"/>
            </w:r>
            <w:r w:rsidR="00880EFA">
              <w:rPr>
                <w:rFonts w:ascii="Arial" w:hAnsi="Arial"/>
                <w:sz w:val="24"/>
                <w:szCs w:val="24"/>
              </w:rPr>
              <w:instrText xml:space="preserve"> REF _Ref45884271 \r \h </w:instrText>
            </w:r>
            <w:r w:rsidR="00880EFA">
              <w:rPr>
                <w:rFonts w:ascii="Arial" w:hAnsi="Arial"/>
                <w:sz w:val="24"/>
                <w:szCs w:val="24"/>
              </w:rPr>
            </w:r>
            <w:r w:rsidR="00880EFA">
              <w:rPr>
                <w:rFonts w:ascii="Arial" w:hAnsi="Arial"/>
                <w:sz w:val="24"/>
                <w:szCs w:val="24"/>
              </w:rPr>
              <w:fldChar w:fldCharType="separate"/>
            </w:r>
            <w:r w:rsidR="008006EE">
              <w:rPr>
                <w:rFonts w:ascii="Arial" w:hAnsi="Arial"/>
                <w:sz w:val="24"/>
                <w:szCs w:val="24"/>
              </w:rPr>
              <w:t>4.1</w:t>
            </w:r>
            <w:r w:rsidR="00880EFA">
              <w:rPr>
                <w:rFonts w:ascii="Arial" w:hAnsi="Arial"/>
                <w:sz w:val="24"/>
                <w:szCs w:val="24"/>
              </w:rPr>
              <w:fldChar w:fldCharType="end"/>
            </w:r>
            <w:r w:rsidR="009B371B">
              <w:rPr>
                <w:rFonts w:ascii="Arial" w:hAnsi="Arial"/>
                <w:sz w:val="24"/>
                <w:szCs w:val="24"/>
              </w:rPr>
              <w:t xml:space="preserve"> of </w:t>
            </w:r>
            <w:r w:rsidR="009B371B" w:rsidRPr="00E07B3C">
              <w:rPr>
                <w:rFonts w:ascii="Arial" w:hAnsi="Arial"/>
                <w:sz w:val="24"/>
                <w:szCs w:val="24"/>
              </w:rPr>
              <w:t>Call-Off Schedule 10</w:t>
            </w:r>
            <w:r w:rsidR="009B371B">
              <w:rPr>
                <w:rFonts w:ascii="Arial" w:hAnsi="Arial"/>
                <w:sz w:val="24"/>
                <w:szCs w:val="24"/>
              </w:rPr>
              <w:t>A</w:t>
            </w:r>
            <w:r w:rsidRPr="00E07B3C">
              <w:rPr>
                <w:rFonts w:ascii="Arial" w:hAnsi="Arial"/>
                <w:sz w:val="24"/>
                <w:szCs w:val="24"/>
              </w:rPr>
              <w:t>.</w:t>
            </w:r>
          </w:p>
        </w:tc>
      </w:tr>
    </w:tbl>
    <w:p w14:paraId="4932701A" w14:textId="77777777" w:rsidR="00594E8B" w:rsidRPr="00FE5DF9" w:rsidRDefault="00594E8B" w:rsidP="00DF3FDD">
      <w:pPr>
        <w:widowControl w:val="0"/>
        <w:spacing w:before="240" w:after="120" w:line="240" w:lineRule="auto"/>
        <w:ind w:left="454"/>
        <w:contextualSpacing/>
        <w:jc w:val="both"/>
        <w:rPr>
          <w:rFonts w:ascii="Arial" w:eastAsia="Verdana" w:hAnsi="Arial" w:cs="Arial"/>
          <w:bCs/>
          <w:sz w:val="24"/>
          <w:szCs w:val="24"/>
          <w:lang w:eastAsia="en-GB"/>
        </w:rPr>
      </w:pPr>
    </w:p>
    <w:p w14:paraId="6FD0A38E" w14:textId="364F921F" w:rsidR="00283CAE" w:rsidRDefault="00283CAE" w:rsidP="00DF3FDD">
      <w:pPr>
        <w:pStyle w:val="Heading1"/>
        <w:keepNext w:val="0"/>
        <w:keepLines w:val="0"/>
        <w:widowControl w:val="0"/>
      </w:pPr>
      <w:r>
        <w:t>Handover</w:t>
      </w:r>
      <w:r w:rsidR="00B77FB9">
        <w:t>s between Statements of Work</w:t>
      </w:r>
    </w:p>
    <w:p w14:paraId="627711E6" w14:textId="4BC08376" w:rsidR="009E7BA9" w:rsidRDefault="00B77FB9" w:rsidP="00D1650B">
      <w:pPr>
        <w:pStyle w:val="Heading2"/>
        <w:keepNext w:val="0"/>
        <w:keepLines w:val="0"/>
        <w:spacing w:before="120" w:after="120"/>
      </w:pPr>
      <w:r>
        <w:t xml:space="preserve">Every Statement of Work </w:t>
      </w:r>
      <w:r w:rsidR="003B0D69">
        <w:t>must</w:t>
      </w:r>
      <w:r>
        <w:t xml:space="preserve"> include, as part of</w:t>
      </w:r>
      <w:r w:rsidR="003B0D69">
        <w:t xml:space="preserve"> its final activities</w:t>
      </w:r>
      <w:r w:rsidR="00702FB9">
        <w:t>,</w:t>
      </w:r>
      <w:r w:rsidR="003B0D69">
        <w:t xml:space="preserve"> provisions for handover to </w:t>
      </w:r>
      <w:r w:rsidR="009E7BA9">
        <w:t>any subsequent and dependent</w:t>
      </w:r>
      <w:r w:rsidR="003B0D69">
        <w:t xml:space="preserve"> Statement of Work</w:t>
      </w:r>
      <w:r w:rsidR="009E7BA9">
        <w:t>s.</w:t>
      </w:r>
    </w:p>
    <w:p w14:paraId="310793E3" w14:textId="46CBB931" w:rsidR="00D1650B" w:rsidRDefault="009E7BA9" w:rsidP="00D1650B">
      <w:pPr>
        <w:pStyle w:val="Heading2"/>
        <w:keepNext w:val="0"/>
        <w:keepLines w:val="0"/>
        <w:spacing w:before="120" w:after="120"/>
      </w:pPr>
      <w:r>
        <w:t xml:space="preserve">Handovers should include </w:t>
      </w:r>
      <w:r w:rsidR="00DA38F1">
        <w:t xml:space="preserve">any necessary documentation, training, </w:t>
      </w:r>
      <w:r w:rsidR="00BE7892">
        <w:t xml:space="preserve">and </w:t>
      </w:r>
      <w:r w:rsidR="00DA38F1">
        <w:t xml:space="preserve">data necessary to allow for </w:t>
      </w:r>
      <w:r w:rsidR="00D1650B">
        <w:t>successful transition or exit, should the latter be decided upon.</w:t>
      </w:r>
    </w:p>
    <w:p w14:paraId="4932701B" w14:textId="04CAB6BA" w:rsidR="00E74D9B" w:rsidRPr="00621F7A" w:rsidRDefault="00E74D9B" w:rsidP="00DF3FDD">
      <w:pPr>
        <w:pStyle w:val="Heading1"/>
        <w:keepNext w:val="0"/>
        <w:keepLines w:val="0"/>
        <w:widowControl w:val="0"/>
      </w:pPr>
      <w:r w:rsidRPr="00621F7A">
        <w:t>Exit Plan</w:t>
      </w:r>
      <w:bookmarkEnd w:id="0"/>
      <w:r w:rsidRPr="00621F7A">
        <w:t xml:space="preserve"> </w:t>
      </w:r>
      <w:bookmarkStart w:id="2" w:name="_Toc503433331"/>
    </w:p>
    <w:p w14:paraId="4932701C" w14:textId="728124DA" w:rsidR="00E74D9B" w:rsidRPr="008231CF" w:rsidRDefault="00E74D9B" w:rsidP="005148CC">
      <w:pPr>
        <w:pStyle w:val="Heading2"/>
        <w:keepNext w:val="0"/>
        <w:keepLines w:val="0"/>
        <w:widowControl w:val="0"/>
        <w:spacing w:before="120" w:after="120"/>
        <w:rPr>
          <w:b/>
          <w:bCs/>
        </w:rPr>
      </w:pPr>
      <w:bookmarkStart w:id="3" w:name="_Toc32593569"/>
      <w:r w:rsidRPr="008231CF">
        <w:rPr>
          <w:b/>
          <w:bCs/>
        </w:rPr>
        <w:t>Introduction</w:t>
      </w:r>
      <w:bookmarkEnd w:id="2"/>
      <w:bookmarkEnd w:id="3"/>
    </w:p>
    <w:p w14:paraId="6FCE9393" w14:textId="24DAC044" w:rsidR="008C78B1" w:rsidRPr="005148CC" w:rsidRDefault="00FE5DF9" w:rsidP="00D1650B">
      <w:pPr>
        <w:pStyle w:val="Heading3"/>
        <w:keepNext w:val="0"/>
        <w:keepLines w:val="0"/>
        <w:rPr>
          <w:rFonts w:eastAsia="Times New Roman"/>
          <w:color w:val="000000"/>
        </w:rPr>
      </w:pPr>
      <w:r>
        <w:rPr>
          <w:highlight w:val="white"/>
        </w:rPr>
        <w:t xml:space="preserve">Within </w:t>
      </w:r>
      <w:r w:rsidR="004854D0">
        <w:rPr>
          <w:highlight w:val="white"/>
        </w:rPr>
        <w:t>2</w:t>
      </w:r>
      <w:r>
        <w:rPr>
          <w:highlight w:val="white"/>
        </w:rPr>
        <w:t xml:space="preserve"> months of the Start Date (or as otherwise agreed between the Buyer and Supplier),</w:t>
      </w:r>
      <w:r w:rsidR="00320FBC" w:rsidRPr="00FF0FB0">
        <w:rPr>
          <w:highlight w:val="white"/>
        </w:rPr>
        <w:t xml:space="preserve"> </w:t>
      </w:r>
      <w:r w:rsidR="008C78B1">
        <w:t>the Suppli</w:t>
      </w:r>
      <w:r w:rsidR="00393E75">
        <w:t>e</w:t>
      </w:r>
      <w:r w:rsidR="008C78B1">
        <w:t>r shall prepare a draft Exit Plan in accordance with Good Industry Practice</w:t>
      </w:r>
      <w:r w:rsidR="002952DC">
        <w:t xml:space="preserve"> and the provisions set out below</w:t>
      </w:r>
      <w:r w:rsidR="00393E75">
        <w:t xml:space="preserve">, and shall provide </w:t>
      </w:r>
      <w:r w:rsidR="002952DC">
        <w:t>such</w:t>
      </w:r>
      <w:r w:rsidR="00393E75">
        <w:t xml:space="preserve"> draft Exit Plan to the Buyer</w:t>
      </w:r>
      <w:r w:rsidR="004634C9">
        <w:t xml:space="preserve"> to review</w:t>
      </w:r>
      <w:r w:rsidR="00A11F57">
        <w:t xml:space="preserve"> and approve</w:t>
      </w:r>
      <w:r w:rsidR="008C78B1">
        <w:t xml:space="preserve">. </w:t>
      </w:r>
    </w:p>
    <w:p w14:paraId="3A39FD08" w14:textId="2CAFD23B" w:rsidR="002952DC" w:rsidRDefault="002952DC" w:rsidP="00D1650B">
      <w:pPr>
        <w:pStyle w:val="Heading3"/>
        <w:keepNext w:val="0"/>
        <w:keepLines w:val="0"/>
      </w:pPr>
      <w:r>
        <w:t>The Buyer and the Supplier shall together review the draft Exit Plan, and shall aim to agree the draft Exit Plan</w:t>
      </w:r>
      <w:r w:rsidR="004854D0">
        <w:t xml:space="preserve"> within 3 months of the Start Date.</w:t>
      </w:r>
    </w:p>
    <w:p w14:paraId="456C789E" w14:textId="2E73DD44" w:rsidR="00FF7D6F" w:rsidRDefault="00FF7D6F" w:rsidP="00D1650B">
      <w:pPr>
        <w:pStyle w:val="Heading3"/>
        <w:keepNext w:val="0"/>
        <w:keepLines w:val="0"/>
      </w:pPr>
      <w:r>
        <w:t xml:space="preserve">The </w:t>
      </w:r>
      <w:r w:rsidR="00FF4283">
        <w:t xml:space="preserve">Supplier shall </w:t>
      </w:r>
      <w:r w:rsidR="00D30471">
        <w:t xml:space="preserve">at any </w:t>
      </w:r>
      <w:r w:rsidR="00B2493C">
        <w:t xml:space="preserve">time </w:t>
      </w:r>
      <w:r w:rsidR="00D30471">
        <w:t xml:space="preserve">during the </w:t>
      </w:r>
      <w:r w:rsidR="00D44333">
        <w:t xml:space="preserve">Call-Off </w:t>
      </w:r>
      <w:r w:rsidR="00B2493C">
        <w:t xml:space="preserve">Contract Period </w:t>
      </w:r>
      <w:r w:rsidR="00FF4283">
        <w:t xml:space="preserve">provide an updated draft Exit Plan where the provision of the Deliverables materially changes and this impacts </w:t>
      </w:r>
      <w:r w:rsidR="002277BD">
        <w:t>the provisions of the Exit Plan.</w:t>
      </w:r>
    </w:p>
    <w:p w14:paraId="5CEC18E5" w14:textId="59DE472E" w:rsidR="00FF7D6F" w:rsidRPr="005148CC" w:rsidRDefault="00FF7D6F" w:rsidP="00D1650B">
      <w:pPr>
        <w:pStyle w:val="Heading3"/>
        <w:keepNext w:val="0"/>
        <w:keepLines w:val="0"/>
      </w:pPr>
      <w:r>
        <w:t xml:space="preserve">The Parties shall </w:t>
      </w:r>
      <w:r w:rsidR="00D30471">
        <w:t xml:space="preserve">annually jointly </w:t>
      </w:r>
      <w:r>
        <w:t>review</w:t>
      </w:r>
      <w:r w:rsidR="00D30471">
        <w:t>,</w:t>
      </w:r>
      <w:r>
        <w:t xml:space="preserve"> </w:t>
      </w:r>
      <w:r w:rsidR="00D30471">
        <w:t xml:space="preserve">and the Supplier shall update if necessary, </w:t>
      </w:r>
      <w:r>
        <w:t xml:space="preserve">the </w:t>
      </w:r>
      <w:r w:rsidR="00D30471">
        <w:t xml:space="preserve">provisions of the </w:t>
      </w:r>
      <w:r>
        <w:t>Exit Plan.</w:t>
      </w:r>
    </w:p>
    <w:p w14:paraId="4932701E" w14:textId="36AA275A" w:rsidR="00E74D9B" w:rsidRPr="008231CF" w:rsidRDefault="00E74D9B" w:rsidP="00604DA1">
      <w:pPr>
        <w:pStyle w:val="Heading2"/>
        <w:keepLines w:val="0"/>
        <w:widowControl w:val="0"/>
        <w:rPr>
          <w:b/>
          <w:bCs/>
        </w:rPr>
      </w:pPr>
      <w:bookmarkStart w:id="4" w:name="_Toc32593570"/>
      <w:r w:rsidRPr="008231CF">
        <w:rPr>
          <w:b/>
          <w:bCs/>
        </w:rPr>
        <w:t>Content of Plan</w:t>
      </w:r>
      <w:bookmarkEnd w:id="4"/>
    </w:p>
    <w:p w14:paraId="643CD9B2" w14:textId="77777777" w:rsidR="005C15E5" w:rsidRPr="00152681" w:rsidRDefault="005C15E5" w:rsidP="000432D9">
      <w:pPr>
        <w:pStyle w:val="Heading3"/>
        <w:keepNext w:val="0"/>
        <w:keepLines w:val="0"/>
        <w:widowControl w:val="0"/>
      </w:pPr>
      <w:r w:rsidRPr="00152681">
        <w:t xml:space="preserve">The Supplier shall ensure that the Exit Plan facilitates a Service Transfer to the Buyer or a Replacement Supplier on expiry or termination of the Call Off </w:t>
      </w:r>
      <w:r w:rsidRPr="00152681">
        <w:lastRenderedPageBreak/>
        <w:t>Contract.</w:t>
      </w:r>
    </w:p>
    <w:p w14:paraId="27AB2BD2" w14:textId="117F816D" w:rsidR="00CE37CB" w:rsidRDefault="00CE37CB" w:rsidP="00DF3FDD">
      <w:pPr>
        <w:pStyle w:val="Heading3"/>
        <w:keepNext w:val="0"/>
        <w:keepLines w:val="0"/>
        <w:widowControl w:val="0"/>
      </w:pPr>
      <w:r w:rsidRPr="00CE37CB">
        <w:t xml:space="preserve">As a minimum </w:t>
      </w:r>
      <w:r w:rsidR="005C15E5">
        <w:t>the Exit Plan</w:t>
      </w:r>
      <w:r w:rsidRPr="00CE37CB">
        <w:t xml:space="preserve"> will include:</w:t>
      </w:r>
    </w:p>
    <w:p w14:paraId="49327020" w14:textId="59DACBCE" w:rsidR="00E74D9B" w:rsidRPr="006378F8" w:rsidRDefault="00E74D9B" w:rsidP="000432D9">
      <w:pPr>
        <w:pStyle w:val="Heading3"/>
        <w:keepNext w:val="0"/>
        <w:keepLines w:val="0"/>
        <w:widowControl w:val="0"/>
        <w:numPr>
          <w:ilvl w:val="2"/>
          <w:numId w:val="18"/>
        </w:numPr>
        <w:ind w:left="1418" w:hanging="567"/>
      </w:pPr>
      <w:r w:rsidRPr="006378F8">
        <w:t xml:space="preserve">Provision of / access to </w:t>
      </w:r>
      <w:r w:rsidR="00140C4C" w:rsidRPr="006378F8">
        <w:t>k</w:t>
      </w:r>
      <w:r w:rsidRPr="006378F8">
        <w:t xml:space="preserve">ey </w:t>
      </w:r>
      <w:r w:rsidR="00140C4C" w:rsidRPr="006378F8">
        <w:t>S</w:t>
      </w:r>
      <w:r w:rsidRPr="006378F8">
        <w:t xml:space="preserve">ervice information, </w:t>
      </w:r>
      <w:r w:rsidR="00140C4C" w:rsidRPr="006378F8">
        <w:t>w</w:t>
      </w:r>
      <w:r w:rsidRPr="006378F8">
        <w:t xml:space="preserve">orkbook data, </w:t>
      </w:r>
      <w:r w:rsidR="00140C4C" w:rsidRPr="006378F8">
        <w:t>S</w:t>
      </w:r>
      <w:r w:rsidRPr="006378F8">
        <w:t xml:space="preserve">upplier data, key </w:t>
      </w:r>
      <w:r w:rsidR="00140C4C" w:rsidRPr="006378F8">
        <w:t>Buyer</w:t>
      </w:r>
      <w:r w:rsidRPr="006378F8">
        <w:t xml:space="preserve"> processes and requirements, and TUPE information</w:t>
      </w:r>
      <w:r w:rsidR="00ED7A05">
        <w:t>;</w:t>
      </w:r>
    </w:p>
    <w:p w14:paraId="49327022" w14:textId="4DC552C0" w:rsidR="00E74D9B" w:rsidRPr="00FF0FB0" w:rsidRDefault="00E74D9B" w:rsidP="000432D9">
      <w:pPr>
        <w:pStyle w:val="Heading3"/>
        <w:keepNext w:val="0"/>
        <w:keepLines w:val="0"/>
        <w:widowControl w:val="0"/>
        <w:numPr>
          <w:ilvl w:val="2"/>
          <w:numId w:val="18"/>
        </w:numPr>
        <w:ind w:left="1418" w:hanging="567"/>
      </w:pPr>
      <w:r w:rsidRPr="00FF0FB0">
        <w:t>Management structure throughout the exit</w:t>
      </w:r>
      <w:r w:rsidR="00ED7A05">
        <w:t>;</w:t>
      </w:r>
    </w:p>
    <w:p w14:paraId="49327024" w14:textId="77777777" w:rsidR="009C3F68" w:rsidRPr="00FF0FB0" w:rsidRDefault="009C3F68" w:rsidP="000432D9">
      <w:pPr>
        <w:pStyle w:val="Heading3"/>
        <w:keepNext w:val="0"/>
        <w:keepLines w:val="0"/>
        <w:widowControl w:val="0"/>
        <w:numPr>
          <w:ilvl w:val="2"/>
          <w:numId w:val="18"/>
        </w:numPr>
        <w:ind w:left="1418" w:hanging="567"/>
      </w:pPr>
      <w:r w:rsidRPr="00FF0FB0">
        <w:t>Roles and Responsibilities, which may include:</w:t>
      </w:r>
    </w:p>
    <w:p w14:paraId="49327025" w14:textId="77777777" w:rsidR="009C3F68" w:rsidRPr="00FF0FB0" w:rsidRDefault="009C3F68" w:rsidP="00DF3FDD">
      <w:pPr>
        <w:pStyle w:val="ListParagraph"/>
        <w:widowControl w:val="0"/>
        <w:rPr>
          <w:rFonts w:ascii="Arial" w:eastAsia="Times New Roman" w:hAnsi="Arial" w:cs="Arial"/>
          <w:color w:val="000000"/>
          <w:sz w:val="24"/>
          <w:szCs w:val="24"/>
        </w:rPr>
      </w:pPr>
    </w:p>
    <w:tbl>
      <w:tblPr>
        <w:tblW w:w="3774" w:type="pct"/>
        <w:tblInd w:w="2122" w:type="dxa"/>
        <w:tblLook w:val="04A0" w:firstRow="1" w:lastRow="0" w:firstColumn="1" w:lastColumn="0" w:noHBand="0" w:noVBand="1"/>
      </w:tblPr>
      <w:tblGrid>
        <w:gridCol w:w="2977"/>
        <w:gridCol w:w="3828"/>
      </w:tblGrid>
      <w:tr w:rsidR="009C3F68" w:rsidRPr="00FE5DF9" w14:paraId="49327028" w14:textId="77777777" w:rsidTr="000432D9">
        <w:trPr>
          <w:cantSplit/>
          <w:trHeight w:val="285"/>
          <w:tblHeader/>
        </w:trPr>
        <w:tc>
          <w:tcPr>
            <w:tcW w:w="218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49327026" w14:textId="77777777" w:rsidR="009C3F68" w:rsidRPr="00FF0FB0" w:rsidRDefault="009C3F68" w:rsidP="00DF3FDD">
            <w:pPr>
              <w:pStyle w:val="ListParagraph"/>
              <w:widowControl w:val="0"/>
              <w:spacing w:line="300" w:lineRule="atLeast"/>
              <w:rPr>
                <w:rFonts w:ascii="Arial" w:eastAsia="Times New Roman" w:hAnsi="Arial" w:cs="Arial"/>
                <w:b/>
                <w:bCs/>
                <w:color w:val="000000"/>
                <w:sz w:val="24"/>
                <w:szCs w:val="24"/>
              </w:rPr>
            </w:pPr>
            <w:r w:rsidRPr="00FF0FB0">
              <w:rPr>
                <w:rFonts w:ascii="Arial" w:eastAsia="Times New Roman" w:hAnsi="Arial" w:cs="Arial"/>
                <w:b/>
                <w:bCs/>
                <w:color w:val="000000"/>
                <w:sz w:val="24"/>
                <w:szCs w:val="24"/>
              </w:rPr>
              <w:t>Role</w:t>
            </w:r>
          </w:p>
        </w:tc>
        <w:tc>
          <w:tcPr>
            <w:tcW w:w="2813" w:type="pct"/>
            <w:tcBorders>
              <w:top w:val="single" w:sz="4" w:space="0" w:color="auto"/>
              <w:left w:val="nil"/>
              <w:bottom w:val="single" w:sz="4" w:space="0" w:color="auto"/>
              <w:right w:val="single" w:sz="4" w:space="0" w:color="auto"/>
            </w:tcBorders>
            <w:shd w:val="clear" w:color="000000" w:fill="BFBFBF"/>
            <w:vAlign w:val="center"/>
            <w:hideMark/>
          </w:tcPr>
          <w:p w14:paraId="49327027" w14:textId="77777777" w:rsidR="009C3F68" w:rsidRPr="00FF0FB0" w:rsidRDefault="009C3F68" w:rsidP="000432D9">
            <w:pPr>
              <w:pStyle w:val="ListParagraph"/>
              <w:widowControl w:val="0"/>
              <w:spacing w:line="300" w:lineRule="atLeast"/>
              <w:ind w:left="41"/>
              <w:rPr>
                <w:rFonts w:ascii="Arial" w:eastAsia="Times New Roman" w:hAnsi="Arial" w:cs="Arial"/>
                <w:b/>
                <w:bCs/>
                <w:color w:val="000000"/>
                <w:sz w:val="24"/>
                <w:szCs w:val="24"/>
              </w:rPr>
            </w:pPr>
            <w:r w:rsidRPr="00FF0FB0">
              <w:rPr>
                <w:rFonts w:ascii="Arial" w:eastAsia="Times New Roman" w:hAnsi="Arial" w:cs="Arial"/>
                <w:b/>
                <w:bCs/>
                <w:color w:val="000000"/>
                <w:sz w:val="24"/>
                <w:szCs w:val="24"/>
              </w:rPr>
              <w:t>Responsibilities</w:t>
            </w:r>
          </w:p>
        </w:tc>
      </w:tr>
      <w:tr w:rsidR="009C3F68" w:rsidRPr="00FE5DF9" w14:paraId="4932702B"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29"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Exit Manager</w:t>
            </w:r>
          </w:p>
        </w:tc>
        <w:tc>
          <w:tcPr>
            <w:tcW w:w="2813" w:type="pct"/>
            <w:tcBorders>
              <w:top w:val="nil"/>
              <w:left w:val="nil"/>
              <w:bottom w:val="single" w:sz="4" w:space="0" w:color="auto"/>
              <w:right w:val="single" w:sz="4" w:space="0" w:color="auto"/>
            </w:tcBorders>
            <w:shd w:val="clear" w:color="000000" w:fill="FFFFFF"/>
            <w:vAlign w:val="center"/>
            <w:hideMark/>
          </w:tcPr>
          <w:p w14:paraId="4932702A"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Management of all Workstreams, including Communications and Finance</w:t>
            </w:r>
          </w:p>
        </w:tc>
      </w:tr>
      <w:tr w:rsidR="009C3F68" w:rsidRPr="00FE5DF9" w14:paraId="4932702E"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2C"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Project Management  Support</w:t>
            </w:r>
          </w:p>
        </w:tc>
        <w:tc>
          <w:tcPr>
            <w:tcW w:w="2813" w:type="pct"/>
            <w:tcBorders>
              <w:top w:val="nil"/>
              <w:left w:val="nil"/>
              <w:bottom w:val="single" w:sz="4" w:space="0" w:color="auto"/>
              <w:right w:val="single" w:sz="4" w:space="0" w:color="auto"/>
            </w:tcBorders>
            <w:shd w:val="clear" w:color="000000" w:fill="FFFFFF"/>
            <w:vAlign w:val="center"/>
            <w:hideMark/>
          </w:tcPr>
          <w:p w14:paraId="4932702D"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Support across all Workstreams</w:t>
            </w:r>
          </w:p>
        </w:tc>
      </w:tr>
      <w:tr w:rsidR="009C3F68" w:rsidRPr="00FE5DF9" w14:paraId="49327031"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2F"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Framework Director</w:t>
            </w:r>
          </w:p>
        </w:tc>
        <w:tc>
          <w:tcPr>
            <w:tcW w:w="2813" w:type="pct"/>
            <w:tcBorders>
              <w:top w:val="nil"/>
              <w:left w:val="nil"/>
              <w:bottom w:val="single" w:sz="4" w:space="0" w:color="auto"/>
              <w:right w:val="single" w:sz="4" w:space="0" w:color="auto"/>
            </w:tcBorders>
            <w:shd w:val="clear" w:color="000000" w:fill="FFFFFF"/>
            <w:vAlign w:val="center"/>
            <w:hideMark/>
          </w:tcPr>
          <w:p w14:paraId="49327030"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Project Governance</w:t>
            </w:r>
          </w:p>
        </w:tc>
      </w:tr>
      <w:tr w:rsidR="009C3F68" w:rsidRPr="00FE5DF9" w14:paraId="49327034"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32"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Data Lead</w:t>
            </w:r>
          </w:p>
        </w:tc>
        <w:tc>
          <w:tcPr>
            <w:tcW w:w="2813" w:type="pct"/>
            <w:tcBorders>
              <w:top w:val="nil"/>
              <w:left w:val="nil"/>
              <w:bottom w:val="single" w:sz="4" w:space="0" w:color="auto"/>
              <w:right w:val="single" w:sz="4" w:space="0" w:color="auto"/>
            </w:tcBorders>
            <w:shd w:val="clear" w:color="000000" w:fill="FFFFFF"/>
            <w:vAlign w:val="center"/>
            <w:hideMark/>
          </w:tcPr>
          <w:p w14:paraId="49327033"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Data &amp; Reporting Workstreams</w:t>
            </w:r>
          </w:p>
        </w:tc>
      </w:tr>
      <w:tr w:rsidR="009C3F68" w:rsidRPr="00FE5DF9" w14:paraId="49327037"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35"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Technology Lead</w:t>
            </w:r>
          </w:p>
        </w:tc>
        <w:tc>
          <w:tcPr>
            <w:tcW w:w="2813" w:type="pct"/>
            <w:tcBorders>
              <w:top w:val="nil"/>
              <w:left w:val="nil"/>
              <w:bottom w:val="single" w:sz="4" w:space="0" w:color="auto"/>
              <w:right w:val="single" w:sz="4" w:space="0" w:color="auto"/>
            </w:tcBorders>
            <w:shd w:val="clear" w:color="000000" w:fill="FFFFFF"/>
            <w:vAlign w:val="center"/>
            <w:hideMark/>
          </w:tcPr>
          <w:p w14:paraId="49327036"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Technology Workstream</w:t>
            </w:r>
          </w:p>
        </w:tc>
      </w:tr>
      <w:tr w:rsidR="009C3F68" w:rsidRPr="00FE5DF9" w14:paraId="4932703A"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38"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TUPE lead</w:t>
            </w:r>
          </w:p>
        </w:tc>
        <w:tc>
          <w:tcPr>
            <w:tcW w:w="2813" w:type="pct"/>
            <w:tcBorders>
              <w:top w:val="nil"/>
              <w:left w:val="nil"/>
              <w:bottom w:val="single" w:sz="4" w:space="0" w:color="auto"/>
              <w:right w:val="single" w:sz="4" w:space="0" w:color="auto"/>
            </w:tcBorders>
            <w:shd w:val="clear" w:color="000000" w:fill="FFFFFF"/>
            <w:vAlign w:val="center"/>
            <w:hideMark/>
          </w:tcPr>
          <w:p w14:paraId="49327039"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People Workstream</w:t>
            </w:r>
          </w:p>
        </w:tc>
      </w:tr>
      <w:tr w:rsidR="009C3F68" w:rsidRPr="00FE5DF9" w14:paraId="4932703D" w14:textId="77777777" w:rsidTr="000432D9">
        <w:trPr>
          <w:cantSplit/>
          <w:trHeight w:val="285"/>
        </w:trPr>
        <w:tc>
          <w:tcPr>
            <w:tcW w:w="2187" w:type="pct"/>
            <w:tcBorders>
              <w:top w:val="nil"/>
              <w:left w:val="single" w:sz="4" w:space="0" w:color="auto"/>
              <w:bottom w:val="single" w:sz="4" w:space="0" w:color="auto"/>
              <w:right w:val="single" w:sz="4" w:space="0" w:color="auto"/>
            </w:tcBorders>
            <w:shd w:val="clear" w:color="000000" w:fill="FFFFFF"/>
            <w:vAlign w:val="center"/>
            <w:hideMark/>
          </w:tcPr>
          <w:p w14:paraId="4932703B" w14:textId="77777777" w:rsidR="009C3F68" w:rsidRPr="00FF0FB0" w:rsidRDefault="009C3F68" w:rsidP="00DF3FDD">
            <w:pPr>
              <w:widowControl w:val="0"/>
              <w:jc w:val="both"/>
              <w:rPr>
                <w:rFonts w:ascii="Arial" w:eastAsia="Times New Roman" w:hAnsi="Arial" w:cs="Arial"/>
                <w:color w:val="000000"/>
                <w:sz w:val="24"/>
                <w:szCs w:val="24"/>
              </w:rPr>
            </w:pPr>
            <w:r w:rsidRPr="00FF0FB0">
              <w:rPr>
                <w:rFonts w:ascii="Arial" w:eastAsia="Times New Roman" w:hAnsi="Arial" w:cs="Arial"/>
                <w:color w:val="000000"/>
                <w:sz w:val="24"/>
                <w:szCs w:val="24"/>
              </w:rPr>
              <w:t>Supplier Lead</w:t>
            </w:r>
          </w:p>
        </w:tc>
        <w:tc>
          <w:tcPr>
            <w:tcW w:w="2813" w:type="pct"/>
            <w:tcBorders>
              <w:top w:val="nil"/>
              <w:left w:val="nil"/>
              <w:bottom w:val="single" w:sz="4" w:space="0" w:color="auto"/>
              <w:right w:val="single" w:sz="4" w:space="0" w:color="auto"/>
            </w:tcBorders>
            <w:shd w:val="clear" w:color="000000" w:fill="FFFFFF"/>
            <w:vAlign w:val="center"/>
            <w:hideMark/>
          </w:tcPr>
          <w:p w14:paraId="4932703C"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Supplier Management Workstream</w:t>
            </w:r>
          </w:p>
        </w:tc>
      </w:tr>
      <w:tr w:rsidR="009C3F68" w:rsidRPr="00FE5DF9" w14:paraId="49327040" w14:textId="77777777" w:rsidTr="000432D9">
        <w:trPr>
          <w:cantSplit/>
          <w:trHeight w:val="285"/>
        </w:trPr>
        <w:tc>
          <w:tcPr>
            <w:tcW w:w="218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32703E" w14:textId="77777777" w:rsidR="009C3F68" w:rsidRPr="00FF0FB0" w:rsidRDefault="009C3F68" w:rsidP="00DF3FDD">
            <w:pPr>
              <w:widowControl w:val="0"/>
              <w:rPr>
                <w:rFonts w:ascii="Arial" w:eastAsia="Times New Roman" w:hAnsi="Arial" w:cs="Arial"/>
                <w:color w:val="000000"/>
                <w:sz w:val="24"/>
                <w:szCs w:val="24"/>
              </w:rPr>
            </w:pPr>
            <w:r w:rsidRPr="00FF0FB0">
              <w:rPr>
                <w:rFonts w:ascii="Arial" w:eastAsia="Times New Roman" w:hAnsi="Arial" w:cs="Arial"/>
                <w:color w:val="000000"/>
                <w:sz w:val="24"/>
                <w:szCs w:val="24"/>
              </w:rPr>
              <w:t>Operations and Delivery Lead</w:t>
            </w:r>
          </w:p>
        </w:tc>
        <w:tc>
          <w:tcPr>
            <w:tcW w:w="2813" w:type="pct"/>
            <w:tcBorders>
              <w:top w:val="single" w:sz="4" w:space="0" w:color="auto"/>
              <w:left w:val="nil"/>
              <w:bottom w:val="single" w:sz="4" w:space="0" w:color="auto"/>
              <w:right w:val="single" w:sz="4" w:space="0" w:color="auto"/>
            </w:tcBorders>
            <w:shd w:val="clear" w:color="000000" w:fill="FFFFFF"/>
            <w:vAlign w:val="center"/>
            <w:hideMark/>
          </w:tcPr>
          <w:p w14:paraId="4932703F" w14:textId="77777777" w:rsidR="009C3F68" w:rsidRPr="00FF0FB0" w:rsidRDefault="009C3F68" w:rsidP="000432D9">
            <w:pPr>
              <w:pStyle w:val="ListParagraph"/>
              <w:widowControl w:val="0"/>
              <w:ind w:left="41"/>
              <w:jc w:val="both"/>
              <w:rPr>
                <w:rFonts w:ascii="Arial" w:eastAsia="Times New Roman" w:hAnsi="Arial" w:cs="Arial"/>
                <w:color w:val="000000"/>
                <w:sz w:val="24"/>
                <w:szCs w:val="24"/>
              </w:rPr>
            </w:pPr>
            <w:r w:rsidRPr="00FF0FB0">
              <w:rPr>
                <w:rFonts w:ascii="Arial" w:eastAsia="Times New Roman" w:hAnsi="Arial" w:cs="Arial"/>
                <w:color w:val="000000"/>
                <w:sz w:val="24"/>
                <w:szCs w:val="24"/>
              </w:rPr>
              <w:t> Operations &amp; WIP Workstreams</w:t>
            </w:r>
          </w:p>
        </w:tc>
      </w:tr>
    </w:tbl>
    <w:p w14:paraId="49327043" w14:textId="77777777" w:rsidR="009C3F68" w:rsidRPr="00FF0FB0" w:rsidRDefault="009C3F68" w:rsidP="00DF3FDD">
      <w:pPr>
        <w:pStyle w:val="ListParagraph"/>
        <w:widowControl w:val="0"/>
        <w:rPr>
          <w:rFonts w:ascii="Arial" w:eastAsia="Times New Roman" w:hAnsi="Arial" w:cs="Arial"/>
          <w:color w:val="000000"/>
          <w:sz w:val="24"/>
          <w:szCs w:val="24"/>
        </w:rPr>
      </w:pPr>
    </w:p>
    <w:p w14:paraId="49327044" w14:textId="10FAA70D" w:rsidR="00E74D9B" w:rsidRPr="000432D9" w:rsidRDefault="00E74D9B" w:rsidP="000432D9">
      <w:pPr>
        <w:pStyle w:val="Heading3"/>
        <w:keepNext w:val="0"/>
        <w:keepLines w:val="0"/>
        <w:widowControl w:val="0"/>
        <w:numPr>
          <w:ilvl w:val="2"/>
          <w:numId w:val="18"/>
        </w:numPr>
        <w:ind w:left="1418" w:hanging="567"/>
      </w:pPr>
      <w:r w:rsidRPr="000432D9">
        <w:t>Activities and timeline for the exit</w:t>
      </w:r>
      <w:r w:rsidR="009C3F68" w:rsidRPr="000432D9">
        <w:t xml:space="preserve"> - </w:t>
      </w:r>
      <w:r w:rsidR="009C3F68" w:rsidRPr="00FF0FB0">
        <w:t xml:space="preserve">The exact nature of the activities and the timelines associated with them will be dependent on the planning and activities defined by the </w:t>
      </w:r>
      <w:r w:rsidR="009C3F68" w:rsidRPr="000432D9">
        <w:t>Buyer</w:t>
      </w:r>
      <w:r w:rsidR="009C3F68" w:rsidRPr="00FF0FB0">
        <w:t xml:space="preserve"> and the Replacement Supplier, most notably the timelines and phasing of the specific Buyer roll outs, and the associated implications</w:t>
      </w:r>
      <w:r w:rsidR="00DE5688" w:rsidRPr="00FF0FB0">
        <w:t>. The Exit Plan should nevertheless incorporate indicative timescales and milestones with these to be firmed up by agreement between the Parties no later than an agreed timespan before the date of expiry or termination</w:t>
      </w:r>
      <w:r w:rsidR="00ED7A05">
        <w:t>;</w:t>
      </w:r>
    </w:p>
    <w:p w14:paraId="49327046" w14:textId="1670AB38" w:rsidR="009C3F68" w:rsidRPr="00FF0FB0" w:rsidRDefault="009C3F68" w:rsidP="000432D9">
      <w:pPr>
        <w:pStyle w:val="Heading3"/>
        <w:keepNext w:val="0"/>
        <w:keepLines w:val="0"/>
        <w:widowControl w:val="0"/>
        <w:numPr>
          <w:ilvl w:val="2"/>
          <w:numId w:val="18"/>
        </w:numPr>
        <w:ind w:left="1418" w:hanging="567"/>
      </w:pPr>
      <w:r w:rsidRPr="00FF0FB0">
        <w:t>Logical workstreams into which the activities will be organised, which may, for example, include</w:t>
      </w:r>
      <w:r w:rsidR="00ED7A05">
        <w:t>:</w:t>
      </w:r>
    </w:p>
    <w:p w14:paraId="49327047" w14:textId="77777777" w:rsidR="009C3F68" w:rsidRPr="00FF0FB0" w:rsidRDefault="009C3F68" w:rsidP="00604DA1">
      <w:pPr>
        <w:pStyle w:val="ListParagraph"/>
        <w:keepNext/>
        <w:widowControl w:val="0"/>
        <w:rPr>
          <w:rFonts w:ascii="Arial" w:eastAsia="Times New Roman" w:hAnsi="Arial" w:cs="Arial"/>
          <w:color w:val="000000"/>
          <w:sz w:val="24"/>
          <w:szCs w:val="24"/>
        </w:rPr>
      </w:pPr>
    </w:p>
    <w:tbl>
      <w:tblPr>
        <w:tblW w:w="4225" w:type="pc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4215"/>
      </w:tblGrid>
      <w:tr w:rsidR="009C3F68" w:rsidRPr="00FE5DF9" w14:paraId="4932704A" w14:textId="77777777" w:rsidTr="000432D9">
        <w:trPr>
          <w:cantSplit/>
          <w:trHeight w:val="285"/>
          <w:tblHeader/>
        </w:trPr>
        <w:tc>
          <w:tcPr>
            <w:tcW w:w="2234" w:type="pct"/>
            <w:shd w:val="clear" w:color="000000" w:fill="BFBFBF"/>
            <w:vAlign w:val="center"/>
            <w:hideMark/>
          </w:tcPr>
          <w:p w14:paraId="49327048" w14:textId="77777777" w:rsidR="009C3F68" w:rsidRPr="00FF0FB0" w:rsidRDefault="009C3F68" w:rsidP="00604DA1">
            <w:pPr>
              <w:keepNext/>
              <w:widowControl w:val="0"/>
              <w:spacing w:after="0" w:line="240" w:lineRule="auto"/>
              <w:jc w:val="both"/>
              <w:rPr>
                <w:rFonts w:ascii="Arial" w:eastAsia="Verdana" w:hAnsi="Arial" w:cs="Arial"/>
                <w:b/>
                <w:bCs/>
                <w:sz w:val="24"/>
                <w:szCs w:val="24"/>
                <w:lang w:eastAsia="en-GB"/>
              </w:rPr>
            </w:pPr>
            <w:r w:rsidRPr="00FF0FB0">
              <w:rPr>
                <w:rFonts w:ascii="Arial" w:eastAsia="Verdana" w:hAnsi="Arial" w:cs="Arial"/>
                <w:b/>
                <w:bCs/>
                <w:sz w:val="24"/>
                <w:szCs w:val="24"/>
                <w:lang w:eastAsia="en-GB"/>
              </w:rPr>
              <w:t xml:space="preserve">Workstream </w:t>
            </w:r>
          </w:p>
        </w:tc>
        <w:tc>
          <w:tcPr>
            <w:tcW w:w="2766" w:type="pct"/>
            <w:shd w:val="clear" w:color="000000" w:fill="BFBFBF"/>
            <w:vAlign w:val="center"/>
            <w:hideMark/>
          </w:tcPr>
          <w:p w14:paraId="49327049" w14:textId="77777777" w:rsidR="009C3F68" w:rsidRPr="00FF0FB0" w:rsidRDefault="009C3F68" w:rsidP="00604DA1">
            <w:pPr>
              <w:keepNext/>
              <w:widowControl w:val="0"/>
              <w:spacing w:after="0" w:line="240" w:lineRule="auto"/>
              <w:jc w:val="both"/>
              <w:rPr>
                <w:rFonts w:ascii="Arial" w:eastAsia="Verdana" w:hAnsi="Arial" w:cs="Arial"/>
                <w:b/>
                <w:bCs/>
                <w:sz w:val="24"/>
                <w:szCs w:val="24"/>
                <w:lang w:eastAsia="en-GB"/>
              </w:rPr>
            </w:pPr>
            <w:r w:rsidRPr="00FF0FB0">
              <w:rPr>
                <w:rFonts w:ascii="Arial" w:eastAsia="Verdana" w:hAnsi="Arial" w:cs="Arial"/>
                <w:b/>
                <w:bCs/>
                <w:sz w:val="24"/>
                <w:szCs w:val="24"/>
                <w:lang w:eastAsia="en-GB"/>
              </w:rPr>
              <w:t>Key Activities</w:t>
            </w:r>
          </w:p>
        </w:tc>
      </w:tr>
      <w:tr w:rsidR="009C3F68" w:rsidRPr="00FE5DF9" w14:paraId="4932704D" w14:textId="77777777" w:rsidTr="000432D9">
        <w:trPr>
          <w:cantSplit/>
          <w:trHeight w:val="285"/>
        </w:trPr>
        <w:tc>
          <w:tcPr>
            <w:tcW w:w="2234" w:type="pct"/>
            <w:vMerge w:val="restart"/>
            <w:shd w:val="clear" w:color="auto" w:fill="auto"/>
            <w:vAlign w:val="center"/>
            <w:hideMark/>
          </w:tcPr>
          <w:p w14:paraId="4932704B" w14:textId="77777777" w:rsidR="009C3F68" w:rsidRPr="00FF0FB0" w:rsidRDefault="009C3F68" w:rsidP="00604DA1">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Project Governance</w:t>
            </w:r>
            <w:r w:rsidRPr="00FF0FB0">
              <w:rPr>
                <w:rFonts w:ascii="Arial" w:eastAsia="Times New Roman" w:hAnsi="Arial" w:cs="Arial"/>
                <w:color w:val="000000"/>
                <w:sz w:val="24"/>
                <w:szCs w:val="24"/>
                <w:vertAlign w:val="subscript"/>
                <w:lang w:eastAsia="en-GB"/>
              </w:rPr>
              <w:t xml:space="preserve"> </w:t>
            </w:r>
          </w:p>
        </w:tc>
        <w:tc>
          <w:tcPr>
            <w:tcW w:w="2766" w:type="pct"/>
            <w:shd w:val="clear" w:color="auto" w:fill="auto"/>
            <w:vAlign w:val="center"/>
            <w:hideMark/>
          </w:tcPr>
          <w:p w14:paraId="4932704C" w14:textId="77777777" w:rsidR="009C3F68" w:rsidRPr="00FF0FB0" w:rsidRDefault="009C3F68" w:rsidP="00604DA1">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Identify Exit Manager</w:t>
            </w:r>
          </w:p>
        </w:tc>
      </w:tr>
      <w:tr w:rsidR="009C3F68" w:rsidRPr="00FE5DF9" w14:paraId="49327050" w14:textId="77777777" w:rsidTr="000432D9">
        <w:trPr>
          <w:cantSplit/>
          <w:trHeight w:val="285"/>
        </w:trPr>
        <w:tc>
          <w:tcPr>
            <w:tcW w:w="2234" w:type="pct"/>
            <w:vMerge/>
            <w:vAlign w:val="center"/>
            <w:hideMark/>
          </w:tcPr>
          <w:p w14:paraId="4932704E"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4F"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Identify Data Lead</w:t>
            </w:r>
          </w:p>
        </w:tc>
      </w:tr>
      <w:tr w:rsidR="009C3F68" w:rsidRPr="00FE5DF9" w14:paraId="49327053" w14:textId="77777777" w:rsidTr="000432D9">
        <w:trPr>
          <w:cantSplit/>
          <w:trHeight w:val="285"/>
        </w:trPr>
        <w:tc>
          <w:tcPr>
            <w:tcW w:w="2234" w:type="pct"/>
            <w:vMerge/>
            <w:vAlign w:val="center"/>
            <w:hideMark/>
          </w:tcPr>
          <w:p w14:paraId="49327051"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52"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Identify Exit Board and key sponsors</w:t>
            </w:r>
          </w:p>
        </w:tc>
      </w:tr>
      <w:tr w:rsidR="009C3F68" w:rsidRPr="00FE5DF9" w14:paraId="49327056" w14:textId="77777777" w:rsidTr="000432D9">
        <w:trPr>
          <w:cantSplit/>
          <w:trHeight w:val="285"/>
        </w:trPr>
        <w:tc>
          <w:tcPr>
            <w:tcW w:w="2234" w:type="pct"/>
            <w:vMerge/>
            <w:vAlign w:val="center"/>
            <w:hideMark/>
          </w:tcPr>
          <w:p w14:paraId="4932705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55"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Understand scope and scale of new service, phasing, etc</w:t>
            </w:r>
          </w:p>
        </w:tc>
      </w:tr>
      <w:tr w:rsidR="009C3F68" w:rsidRPr="00FE5DF9" w14:paraId="49327059" w14:textId="77777777" w:rsidTr="000432D9">
        <w:trPr>
          <w:cantSplit/>
          <w:trHeight w:val="285"/>
        </w:trPr>
        <w:tc>
          <w:tcPr>
            <w:tcW w:w="2234" w:type="pct"/>
            <w:vMerge/>
            <w:vAlign w:val="center"/>
            <w:hideMark/>
          </w:tcPr>
          <w:p w14:paraId="49327057"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58"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Confirm exit activities and timelines</w:t>
            </w:r>
          </w:p>
        </w:tc>
      </w:tr>
      <w:tr w:rsidR="009C3F68" w:rsidRPr="00FE5DF9" w14:paraId="4932705C" w14:textId="77777777" w:rsidTr="000432D9">
        <w:trPr>
          <w:cantSplit/>
          <w:trHeight w:val="285"/>
        </w:trPr>
        <w:tc>
          <w:tcPr>
            <w:tcW w:w="2234" w:type="pct"/>
            <w:vMerge/>
            <w:vAlign w:val="center"/>
            <w:hideMark/>
          </w:tcPr>
          <w:p w14:paraId="4932705A"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5B"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Establish and maintain RAID Log</w:t>
            </w:r>
          </w:p>
        </w:tc>
      </w:tr>
      <w:tr w:rsidR="009C3F68" w:rsidRPr="00FE5DF9" w14:paraId="4932705F" w14:textId="77777777" w:rsidTr="000432D9">
        <w:trPr>
          <w:cantSplit/>
          <w:trHeight w:val="285"/>
        </w:trPr>
        <w:tc>
          <w:tcPr>
            <w:tcW w:w="2234" w:type="pct"/>
            <w:vMerge/>
            <w:vAlign w:val="center"/>
            <w:hideMark/>
          </w:tcPr>
          <w:p w14:paraId="4932705D"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5E"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Align exit activities to agreed exit timelines</w:t>
            </w:r>
          </w:p>
        </w:tc>
      </w:tr>
      <w:tr w:rsidR="009C3F68" w:rsidRPr="00FE5DF9" w14:paraId="49327062" w14:textId="77777777" w:rsidTr="000432D9">
        <w:trPr>
          <w:cantSplit/>
          <w:trHeight w:val="285"/>
        </w:trPr>
        <w:tc>
          <w:tcPr>
            <w:tcW w:w="2234" w:type="pct"/>
            <w:vMerge/>
            <w:vAlign w:val="center"/>
            <w:hideMark/>
          </w:tcPr>
          <w:p w14:paraId="49327060"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61"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Sign off detailed plan and activities</w:t>
            </w:r>
          </w:p>
        </w:tc>
      </w:tr>
      <w:tr w:rsidR="009C3F68" w:rsidRPr="00FE5DF9" w14:paraId="49327065" w14:textId="77777777" w:rsidTr="000432D9">
        <w:trPr>
          <w:cantSplit/>
          <w:trHeight w:val="285"/>
        </w:trPr>
        <w:tc>
          <w:tcPr>
            <w:tcW w:w="2234" w:type="pct"/>
            <w:vMerge/>
            <w:vAlign w:val="center"/>
            <w:hideMark/>
          </w:tcPr>
          <w:p w14:paraId="49327063"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6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Identify Project Workstream contributors</w:t>
            </w:r>
          </w:p>
        </w:tc>
      </w:tr>
      <w:tr w:rsidR="009C3F68" w:rsidRPr="00FE5DF9" w14:paraId="49327068" w14:textId="77777777" w:rsidTr="000432D9">
        <w:trPr>
          <w:cantSplit/>
          <w:trHeight w:val="285"/>
        </w:trPr>
        <w:tc>
          <w:tcPr>
            <w:tcW w:w="2234" w:type="pct"/>
            <w:vMerge w:val="restart"/>
            <w:shd w:val="clear" w:color="auto" w:fill="auto"/>
            <w:vAlign w:val="center"/>
            <w:hideMark/>
          </w:tcPr>
          <w:p w14:paraId="49327066"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Technology</w:t>
            </w:r>
          </w:p>
        </w:tc>
        <w:tc>
          <w:tcPr>
            <w:tcW w:w="2766" w:type="pct"/>
            <w:shd w:val="clear" w:color="auto" w:fill="auto"/>
            <w:vAlign w:val="center"/>
            <w:hideMark/>
          </w:tcPr>
          <w:p w14:paraId="49327067"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Agree timeline to control closure of access to any Buyer Systems</w:t>
            </w:r>
          </w:p>
        </w:tc>
      </w:tr>
      <w:tr w:rsidR="009C3F68" w:rsidRPr="00FE5DF9" w14:paraId="4932706B" w14:textId="77777777" w:rsidTr="000432D9">
        <w:trPr>
          <w:cantSplit/>
          <w:trHeight w:val="285"/>
        </w:trPr>
        <w:tc>
          <w:tcPr>
            <w:tcW w:w="2234" w:type="pct"/>
            <w:vMerge/>
            <w:vAlign w:val="center"/>
            <w:hideMark/>
          </w:tcPr>
          <w:p w14:paraId="49327069"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tcPr>
          <w:p w14:paraId="4932706A"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r>
      <w:tr w:rsidR="009C3F68" w:rsidRPr="00FE5DF9" w14:paraId="4932706E" w14:textId="77777777" w:rsidTr="000432D9">
        <w:trPr>
          <w:cantSplit/>
          <w:trHeight w:val="285"/>
        </w:trPr>
        <w:tc>
          <w:tcPr>
            <w:tcW w:w="2234" w:type="pct"/>
            <w:vMerge/>
            <w:vAlign w:val="center"/>
            <w:hideMark/>
          </w:tcPr>
          <w:p w14:paraId="4932706C"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tcPr>
          <w:p w14:paraId="4932706D"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r>
      <w:tr w:rsidR="009C3F68" w:rsidRPr="00FE5DF9" w14:paraId="49327071" w14:textId="77777777" w:rsidTr="000432D9">
        <w:trPr>
          <w:cantSplit/>
          <w:trHeight w:val="285"/>
        </w:trPr>
        <w:tc>
          <w:tcPr>
            <w:tcW w:w="2234" w:type="pct"/>
            <w:vMerge/>
            <w:vAlign w:val="center"/>
            <w:hideMark/>
          </w:tcPr>
          <w:p w14:paraId="4932706F"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70"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w:t>
            </w:r>
          </w:p>
        </w:tc>
      </w:tr>
      <w:tr w:rsidR="009C3F68" w:rsidRPr="00FE5DF9" w14:paraId="49327074" w14:textId="77777777" w:rsidTr="000432D9">
        <w:trPr>
          <w:cantSplit/>
          <w:trHeight w:val="285"/>
        </w:trPr>
        <w:tc>
          <w:tcPr>
            <w:tcW w:w="2234" w:type="pct"/>
            <w:vMerge w:val="restart"/>
            <w:shd w:val="clear" w:color="auto" w:fill="auto"/>
            <w:vAlign w:val="center"/>
            <w:hideMark/>
          </w:tcPr>
          <w:p w14:paraId="49327072"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Data</w:t>
            </w:r>
          </w:p>
        </w:tc>
        <w:tc>
          <w:tcPr>
            <w:tcW w:w="2766" w:type="pct"/>
            <w:shd w:val="clear" w:color="auto" w:fill="auto"/>
            <w:vAlign w:val="center"/>
            <w:hideMark/>
          </w:tcPr>
          <w:p w14:paraId="49327073"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The Supplier to review data requests and provide workforce data in reasonable format and frequency.  </w:t>
            </w:r>
          </w:p>
        </w:tc>
      </w:tr>
      <w:tr w:rsidR="009C3F68" w:rsidRPr="00FE5DF9" w14:paraId="49327077" w14:textId="77777777" w:rsidTr="000432D9">
        <w:trPr>
          <w:cantSplit/>
          <w:trHeight w:val="285"/>
        </w:trPr>
        <w:tc>
          <w:tcPr>
            <w:tcW w:w="2234" w:type="pct"/>
            <w:vMerge/>
            <w:vAlign w:val="center"/>
            <w:hideMark/>
          </w:tcPr>
          <w:p w14:paraId="49327075"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76"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Supplier to provide a final data cut during hold/freeze period in line with WIP requirements</w:t>
            </w:r>
          </w:p>
        </w:tc>
      </w:tr>
      <w:tr w:rsidR="009C3F68" w:rsidRPr="00FE5DF9" w14:paraId="4932707A" w14:textId="77777777" w:rsidTr="000432D9">
        <w:trPr>
          <w:cantSplit/>
          <w:trHeight w:val="285"/>
        </w:trPr>
        <w:tc>
          <w:tcPr>
            <w:tcW w:w="2234" w:type="pct"/>
            <w:vMerge/>
            <w:vAlign w:val="center"/>
            <w:hideMark/>
          </w:tcPr>
          <w:p w14:paraId="49327078"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79"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Agree data archiving approach and data deletion as required by the </w:t>
            </w:r>
            <w:r w:rsidRPr="00FF0FB0">
              <w:rPr>
                <w:rFonts w:ascii="Arial" w:eastAsia="Times New Roman" w:hAnsi="Arial" w:cs="Arial"/>
                <w:color w:val="000000"/>
                <w:sz w:val="24"/>
                <w:szCs w:val="24"/>
              </w:rPr>
              <w:t>Buyer</w:t>
            </w:r>
            <w:r w:rsidRPr="00FF0FB0">
              <w:rPr>
                <w:rFonts w:ascii="Arial" w:eastAsia="Times New Roman" w:hAnsi="Arial" w:cs="Arial"/>
                <w:color w:val="000000"/>
                <w:sz w:val="24"/>
                <w:szCs w:val="24"/>
                <w:lang w:eastAsia="en-GB"/>
              </w:rPr>
              <w:t>, in line with GDPR &amp; contractual requirements.</w:t>
            </w:r>
          </w:p>
        </w:tc>
      </w:tr>
      <w:tr w:rsidR="009C3F68" w:rsidRPr="00FE5DF9" w14:paraId="4932707D" w14:textId="77777777" w:rsidTr="000432D9">
        <w:trPr>
          <w:cantSplit/>
          <w:trHeight w:val="285"/>
        </w:trPr>
        <w:tc>
          <w:tcPr>
            <w:tcW w:w="2234" w:type="pct"/>
            <w:vMerge/>
            <w:vAlign w:val="center"/>
            <w:hideMark/>
          </w:tcPr>
          <w:p w14:paraId="4932707B"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7C"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w:t>
            </w:r>
            <w:r w:rsidRPr="00FF0FB0">
              <w:rPr>
                <w:rFonts w:ascii="Arial" w:eastAsia="Times New Roman" w:hAnsi="Arial" w:cs="Arial"/>
                <w:sz w:val="24"/>
                <w:szCs w:val="24"/>
                <w:lang w:eastAsia="en-GB"/>
              </w:rPr>
              <w:t>Agree how data will be transferred at exit, including encryption</w:t>
            </w:r>
          </w:p>
        </w:tc>
      </w:tr>
      <w:tr w:rsidR="009C3F68" w:rsidRPr="00FE5DF9" w14:paraId="49327080" w14:textId="77777777" w:rsidTr="000432D9">
        <w:trPr>
          <w:cantSplit/>
          <w:trHeight w:val="285"/>
        </w:trPr>
        <w:tc>
          <w:tcPr>
            <w:tcW w:w="2234" w:type="pct"/>
            <w:vMerge/>
            <w:vAlign w:val="center"/>
            <w:hideMark/>
          </w:tcPr>
          <w:p w14:paraId="4932707E"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7F"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Buyer data requirements to be finalised re retirement of incumbent workflow</w:t>
            </w:r>
          </w:p>
        </w:tc>
      </w:tr>
      <w:tr w:rsidR="009C3F68" w:rsidRPr="00FE5DF9" w14:paraId="49327083" w14:textId="77777777" w:rsidTr="000432D9">
        <w:trPr>
          <w:cantSplit/>
          <w:trHeight w:val="285"/>
        </w:trPr>
        <w:tc>
          <w:tcPr>
            <w:tcW w:w="2234" w:type="pct"/>
            <w:vMerge w:val="restart"/>
            <w:shd w:val="clear" w:color="auto" w:fill="auto"/>
            <w:vAlign w:val="center"/>
            <w:hideMark/>
          </w:tcPr>
          <w:p w14:paraId="49327081"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Operations &amp; Delivery  </w:t>
            </w:r>
          </w:p>
        </w:tc>
        <w:tc>
          <w:tcPr>
            <w:tcW w:w="2766" w:type="pct"/>
            <w:shd w:val="clear" w:color="auto" w:fill="auto"/>
            <w:vAlign w:val="center"/>
            <w:hideMark/>
          </w:tcPr>
          <w:p w14:paraId="49327082"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Buyer specific process maps and variations</w:t>
            </w:r>
          </w:p>
        </w:tc>
      </w:tr>
      <w:tr w:rsidR="009C3F68" w:rsidRPr="00FE5DF9" w14:paraId="49327086" w14:textId="77777777" w:rsidTr="000432D9">
        <w:trPr>
          <w:cantSplit/>
          <w:trHeight w:val="285"/>
        </w:trPr>
        <w:tc>
          <w:tcPr>
            <w:tcW w:w="2234" w:type="pct"/>
            <w:vMerge/>
            <w:vAlign w:val="center"/>
            <w:hideMark/>
          </w:tcPr>
          <w:p w14:paraId="4932708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85"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responses to reasonable Replacement Supplier clarification requests</w:t>
            </w:r>
          </w:p>
        </w:tc>
      </w:tr>
      <w:tr w:rsidR="009C3F68" w:rsidRPr="00FE5DF9" w14:paraId="49327089" w14:textId="77777777" w:rsidTr="000432D9">
        <w:trPr>
          <w:cantSplit/>
          <w:trHeight w:val="285"/>
        </w:trPr>
        <w:tc>
          <w:tcPr>
            <w:tcW w:w="2234" w:type="pct"/>
            <w:vMerge w:val="restart"/>
            <w:shd w:val="clear" w:color="auto" w:fill="auto"/>
            <w:vAlign w:val="center"/>
            <w:hideMark/>
          </w:tcPr>
          <w:p w14:paraId="49327087"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People </w:t>
            </w:r>
          </w:p>
        </w:tc>
        <w:tc>
          <w:tcPr>
            <w:tcW w:w="2766" w:type="pct"/>
            <w:shd w:val="clear" w:color="auto" w:fill="auto"/>
            <w:vAlign w:val="center"/>
            <w:hideMark/>
          </w:tcPr>
          <w:p w14:paraId="49327088"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a point of contact in HR to agree TUPE timelines &amp; approach</w:t>
            </w:r>
          </w:p>
        </w:tc>
      </w:tr>
      <w:tr w:rsidR="009C3F68" w:rsidRPr="00FE5DF9" w14:paraId="4932708C" w14:textId="77777777" w:rsidTr="000432D9">
        <w:trPr>
          <w:cantSplit/>
          <w:trHeight w:val="285"/>
        </w:trPr>
        <w:tc>
          <w:tcPr>
            <w:tcW w:w="2234" w:type="pct"/>
            <w:vMerge/>
            <w:vAlign w:val="center"/>
            <w:hideMark/>
          </w:tcPr>
          <w:p w14:paraId="4932708A"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tcPr>
          <w:p w14:paraId="4932708B" w14:textId="3B47E89E"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r>
      <w:tr w:rsidR="009C3F68" w:rsidRPr="00FE5DF9" w14:paraId="4932708F" w14:textId="77777777" w:rsidTr="000432D9">
        <w:trPr>
          <w:cantSplit/>
          <w:trHeight w:val="480"/>
        </w:trPr>
        <w:tc>
          <w:tcPr>
            <w:tcW w:w="2234" w:type="pct"/>
            <w:vMerge/>
            <w:vAlign w:val="center"/>
            <w:hideMark/>
          </w:tcPr>
          <w:p w14:paraId="4932708D"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tcPr>
          <w:p w14:paraId="4932708E" w14:textId="1211C228" w:rsidR="009C3F68" w:rsidRPr="00FF0FB0" w:rsidRDefault="00E54A5D"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Activities as required to comply with Part E of Call</w:t>
            </w:r>
            <w:r w:rsidR="00781AF9">
              <w:rPr>
                <w:rFonts w:ascii="Arial" w:eastAsia="Times New Roman" w:hAnsi="Arial" w:cs="Arial"/>
                <w:color w:val="000000"/>
                <w:sz w:val="24"/>
                <w:szCs w:val="24"/>
                <w:lang w:eastAsia="en-GB"/>
              </w:rPr>
              <w:t>-</w:t>
            </w:r>
            <w:r w:rsidRPr="00FF0FB0">
              <w:rPr>
                <w:rFonts w:ascii="Arial" w:eastAsia="Times New Roman" w:hAnsi="Arial" w:cs="Arial"/>
                <w:color w:val="000000"/>
                <w:sz w:val="24"/>
                <w:szCs w:val="24"/>
                <w:lang w:eastAsia="en-GB"/>
              </w:rPr>
              <w:t>Off Schedule 2 (</w:t>
            </w:r>
            <w:r w:rsidRPr="00FF0FB0">
              <w:rPr>
                <w:rFonts w:ascii="Arial" w:eastAsia="Times New Roman" w:hAnsi="Arial" w:cs="Arial"/>
                <w:i/>
                <w:color w:val="000000"/>
                <w:sz w:val="24"/>
                <w:szCs w:val="24"/>
                <w:lang w:eastAsia="en-GB"/>
              </w:rPr>
              <w:t>Staff Transfer</w:t>
            </w:r>
            <w:r w:rsidRPr="00FF0FB0">
              <w:rPr>
                <w:rFonts w:ascii="Arial" w:eastAsia="Times New Roman" w:hAnsi="Arial" w:cs="Arial"/>
                <w:color w:val="000000"/>
                <w:sz w:val="24"/>
                <w:szCs w:val="24"/>
                <w:lang w:eastAsia="en-GB"/>
              </w:rPr>
              <w:t>)</w:t>
            </w:r>
          </w:p>
        </w:tc>
      </w:tr>
      <w:tr w:rsidR="009C3F68" w:rsidRPr="00FE5DF9" w14:paraId="49327092" w14:textId="77777777" w:rsidTr="000432D9">
        <w:trPr>
          <w:cantSplit/>
          <w:trHeight w:val="285"/>
        </w:trPr>
        <w:tc>
          <w:tcPr>
            <w:tcW w:w="2234" w:type="pct"/>
            <w:vMerge/>
            <w:vAlign w:val="center"/>
            <w:hideMark/>
          </w:tcPr>
          <w:p w14:paraId="49327090"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tcPr>
          <w:p w14:paraId="49327091" w14:textId="35C3DC83"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r>
      <w:tr w:rsidR="009C3F68" w:rsidRPr="00FE5DF9" w14:paraId="49327095" w14:textId="77777777" w:rsidTr="000432D9">
        <w:trPr>
          <w:cantSplit/>
          <w:trHeight w:val="285"/>
        </w:trPr>
        <w:tc>
          <w:tcPr>
            <w:tcW w:w="2234" w:type="pct"/>
            <w:vMerge w:val="restart"/>
            <w:shd w:val="clear" w:color="auto" w:fill="auto"/>
            <w:vAlign w:val="center"/>
            <w:hideMark/>
          </w:tcPr>
          <w:p w14:paraId="49327093"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Supplier Management </w:t>
            </w:r>
          </w:p>
        </w:tc>
        <w:tc>
          <w:tcPr>
            <w:tcW w:w="2766" w:type="pct"/>
            <w:shd w:val="clear" w:color="auto" w:fill="auto"/>
            <w:vAlign w:val="center"/>
            <w:hideMark/>
          </w:tcPr>
          <w:p w14:paraId="4932709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all current suppliers and contact details</w:t>
            </w:r>
          </w:p>
        </w:tc>
      </w:tr>
      <w:tr w:rsidR="009C3F68" w:rsidRPr="00FE5DF9" w14:paraId="49327098" w14:textId="77777777" w:rsidTr="000432D9">
        <w:trPr>
          <w:cantSplit/>
          <w:trHeight w:val="285"/>
        </w:trPr>
        <w:tc>
          <w:tcPr>
            <w:tcW w:w="2234" w:type="pct"/>
            <w:vMerge/>
            <w:vAlign w:val="center"/>
            <w:hideMark/>
          </w:tcPr>
          <w:p w14:paraId="49327096"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97"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Support reasonable communications to suppliers and issue any required communications</w:t>
            </w:r>
          </w:p>
        </w:tc>
      </w:tr>
      <w:tr w:rsidR="009C3F68" w:rsidRPr="00FE5DF9" w14:paraId="4932709B" w14:textId="77777777" w:rsidTr="000432D9">
        <w:trPr>
          <w:cantSplit/>
          <w:trHeight w:val="285"/>
        </w:trPr>
        <w:tc>
          <w:tcPr>
            <w:tcW w:w="2234" w:type="pct"/>
            <w:vMerge/>
            <w:vAlign w:val="center"/>
            <w:hideMark/>
          </w:tcPr>
          <w:p w14:paraId="49327099"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622FF33B" w14:textId="77777777" w:rsidR="009C3F68"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Manage billing closure with Supplier</w:t>
            </w:r>
          </w:p>
          <w:p w14:paraId="4932709A" w14:textId="60060663" w:rsidR="00E620E9" w:rsidRPr="00FF0FB0" w:rsidRDefault="00E620E9" w:rsidP="00DF3FDD">
            <w:pPr>
              <w:widowControl w:val="0"/>
              <w:spacing w:after="0" w:line="300" w:lineRule="atLeast"/>
              <w:rPr>
                <w:rFonts w:ascii="Arial" w:eastAsia="Times New Roman" w:hAnsi="Arial" w:cs="Arial"/>
                <w:color w:val="000000"/>
                <w:sz w:val="24"/>
                <w:szCs w:val="24"/>
                <w:lang w:eastAsia="en-GB"/>
              </w:rPr>
            </w:pPr>
          </w:p>
        </w:tc>
      </w:tr>
      <w:tr w:rsidR="009C3F68" w:rsidRPr="00FE5DF9" w14:paraId="4932709E" w14:textId="77777777" w:rsidTr="000432D9">
        <w:trPr>
          <w:cantSplit/>
          <w:trHeight w:val="285"/>
        </w:trPr>
        <w:tc>
          <w:tcPr>
            <w:tcW w:w="2234" w:type="pct"/>
            <w:vMerge w:val="restart"/>
            <w:shd w:val="clear" w:color="auto" w:fill="auto"/>
            <w:vAlign w:val="center"/>
            <w:hideMark/>
          </w:tcPr>
          <w:p w14:paraId="4932709C"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Communications and Change Management </w:t>
            </w:r>
          </w:p>
        </w:tc>
        <w:tc>
          <w:tcPr>
            <w:tcW w:w="2766" w:type="pct"/>
            <w:shd w:val="clear" w:color="auto" w:fill="auto"/>
            <w:vAlign w:val="center"/>
            <w:hideMark/>
          </w:tcPr>
          <w:p w14:paraId="4932709D" w14:textId="77777777" w:rsidR="009C3F68" w:rsidRPr="00FF0FB0" w:rsidRDefault="009C3F68" w:rsidP="00E620E9">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Feed into communications plan</w:t>
            </w:r>
          </w:p>
        </w:tc>
      </w:tr>
      <w:tr w:rsidR="009C3F68" w:rsidRPr="00FE5DF9" w14:paraId="493270A1" w14:textId="77777777" w:rsidTr="000432D9">
        <w:trPr>
          <w:cantSplit/>
          <w:trHeight w:val="285"/>
        </w:trPr>
        <w:tc>
          <w:tcPr>
            <w:tcW w:w="2234" w:type="pct"/>
            <w:vMerge/>
            <w:vAlign w:val="center"/>
            <w:hideMark/>
          </w:tcPr>
          <w:p w14:paraId="4932709F"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A0" w14:textId="77777777" w:rsidR="009C3F68" w:rsidRPr="00FF0FB0" w:rsidRDefault="009C3F68" w:rsidP="00E620E9">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Feed into communications drafting</w:t>
            </w:r>
          </w:p>
        </w:tc>
      </w:tr>
      <w:tr w:rsidR="009C3F68" w:rsidRPr="00FE5DF9" w14:paraId="493270A4" w14:textId="77777777" w:rsidTr="000432D9">
        <w:trPr>
          <w:cantSplit/>
          <w:trHeight w:val="285"/>
        </w:trPr>
        <w:tc>
          <w:tcPr>
            <w:tcW w:w="2234" w:type="pct"/>
            <w:vMerge/>
            <w:vAlign w:val="center"/>
            <w:hideMark/>
          </w:tcPr>
          <w:p w14:paraId="493270A2"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A3" w14:textId="77777777" w:rsidR="009C3F68" w:rsidRPr="00FF0FB0" w:rsidRDefault="009C3F68" w:rsidP="00E620E9">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Ensure all relevant Supplier teams understand activities/ progress of exit / agreed messaging</w:t>
            </w:r>
          </w:p>
        </w:tc>
      </w:tr>
      <w:tr w:rsidR="009C3F68" w:rsidRPr="00FE5DF9" w14:paraId="493270A7" w14:textId="77777777" w:rsidTr="000432D9">
        <w:trPr>
          <w:cantSplit/>
          <w:trHeight w:val="285"/>
        </w:trPr>
        <w:tc>
          <w:tcPr>
            <w:tcW w:w="2234" w:type="pct"/>
            <w:vMerge/>
            <w:vAlign w:val="center"/>
            <w:hideMark/>
          </w:tcPr>
          <w:p w14:paraId="493270A5"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A6" w14:textId="77777777" w:rsidR="009C3F68" w:rsidRPr="00FF0FB0" w:rsidRDefault="009C3F68" w:rsidP="00E620E9">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Fully brief helpdesk on FAQs and messaging</w:t>
            </w:r>
          </w:p>
        </w:tc>
      </w:tr>
      <w:tr w:rsidR="009C3F68" w:rsidRPr="00FE5DF9" w14:paraId="493270AA" w14:textId="77777777" w:rsidTr="000432D9">
        <w:trPr>
          <w:cantSplit/>
          <w:trHeight w:val="285"/>
        </w:trPr>
        <w:tc>
          <w:tcPr>
            <w:tcW w:w="2234" w:type="pct"/>
            <w:vMerge/>
            <w:vAlign w:val="center"/>
            <w:hideMark/>
          </w:tcPr>
          <w:p w14:paraId="493270A8"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A9" w14:textId="77777777" w:rsidR="009C3F68" w:rsidRPr="00FF0FB0" w:rsidRDefault="009C3F68" w:rsidP="00E620E9">
            <w:pPr>
              <w:keepNext/>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Issue communications to workers and suppliers as per plan</w:t>
            </w:r>
          </w:p>
        </w:tc>
      </w:tr>
      <w:tr w:rsidR="009C3F68" w:rsidRPr="00FE5DF9" w14:paraId="493270AD" w14:textId="77777777" w:rsidTr="000432D9">
        <w:trPr>
          <w:cantSplit/>
          <w:trHeight w:val="285"/>
        </w:trPr>
        <w:tc>
          <w:tcPr>
            <w:tcW w:w="2234" w:type="pct"/>
            <w:vMerge/>
            <w:vAlign w:val="center"/>
            <w:hideMark/>
          </w:tcPr>
          <w:p w14:paraId="493270AB"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AC"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input to change impact assessment</w:t>
            </w:r>
          </w:p>
        </w:tc>
      </w:tr>
      <w:tr w:rsidR="009C3F68" w:rsidRPr="00FE5DF9" w14:paraId="493270B0" w14:textId="77777777" w:rsidTr="000432D9">
        <w:trPr>
          <w:cantSplit/>
          <w:trHeight w:val="210"/>
        </w:trPr>
        <w:tc>
          <w:tcPr>
            <w:tcW w:w="2234" w:type="pct"/>
            <w:vMerge w:val="restart"/>
            <w:shd w:val="clear" w:color="auto" w:fill="auto"/>
            <w:vAlign w:val="center"/>
            <w:hideMark/>
          </w:tcPr>
          <w:p w14:paraId="493270AE"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Reporting</w:t>
            </w:r>
          </w:p>
        </w:tc>
        <w:tc>
          <w:tcPr>
            <w:tcW w:w="2766" w:type="pct"/>
            <w:shd w:val="clear" w:color="auto" w:fill="auto"/>
            <w:vAlign w:val="center"/>
            <w:hideMark/>
          </w:tcPr>
          <w:p w14:paraId="493270AF"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Provide a detailed overview of current reporting suite detailing key criteria, recipients and frequency</w:t>
            </w:r>
          </w:p>
        </w:tc>
      </w:tr>
      <w:tr w:rsidR="009C3F68" w:rsidRPr="00FE5DF9" w14:paraId="493270B3" w14:textId="77777777" w:rsidTr="000432D9">
        <w:trPr>
          <w:cantSplit/>
          <w:trHeight w:val="285"/>
        </w:trPr>
        <w:tc>
          <w:tcPr>
            <w:tcW w:w="2234" w:type="pct"/>
            <w:vMerge/>
            <w:vAlign w:val="center"/>
            <w:hideMark/>
          </w:tcPr>
          <w:p w14:paraId="493270B1"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B2"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w:t>
            </w:r>
          </w:p>
        </w:tc>
      </w:tr>
      <w:tr w:rsidR="009C3F68" w:rsidRPr="00FE5DF9" w14:paraId="493270B6" w14:textId="77777777" w:rsidTr="000432D9">
        <w:trPr>
          <w:cantSplit/>
          <w:trHeight w:val="285"/>
        </w:trPr>
        <w:tc>
          <w:tcPr>
            <w:tcW w:w="2234" w:type="pct"/>
            <w:vMerge w:val="restart"/>
            <w:shd w:val="clear" w:color="auto" w:fill="auto"/>
            <w:vAlign w:val="center"/>
            <w:hideMark/>
          </w:tcPr>
          <w:p w14:paraId="493270B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Work in Progress Transition (WIP)</w:t>
            </w:r>
          </w:p>
        </w:tc>
        <w:tc>
          <w:tcPr>
            <w:tcW w:w="2766" w:type="pct"/>
            <w:shd w:val="clear" w:color="auto" w:fill="auto"/>
            <w:vAlign w:val="center"/>
            <w:hideMark/>
          </w:tcPr>
          <w:p w14:paraId="493270B5"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Agree process &amp; commercial arrangements for WIP transition</w:t>
            </w:r>
          </w:p>
        </w:tc>
      </w:tr>
      <w:tr w:rsidR="009C3F68" w:rsidRPr="00FE5DF9" w14:paraId="493270B9" w14:textId="77777777" w:rsidTr="000432D9">
        <w:trPr>
          <w:cantSplit/>
          <w:trHeight w:val="285"/>
        </w:trPr>
        <w:tc>
          <w:tcPr>
            <w:tcW w:w="2234" w:type="pct"/>
            <w:vMerge/>
            <w:vAlign w:val="center"/>
            <w:hideMark/>
          </w:tcPr>
          <w:p w14:paraId="493270B7"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B8"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Support data cleanse activity with a final data cut submitted to incoming service provider</w:t>
            </w:r>
          </w:p>
        </w:tc>
      </w:tr>
      <w:tr w:rsidR="009C3F68" w:rsidRPr="00FE5DF9" w14:paraId="493270BC" w14:textId="77777777" w:rsidTr="000432D9">
        <w:trPr>
          <w:cantSplit/>
          <w:trHeight w:val="285"/>
        </w:trPr>
        <w:tc>
          <w:tcPr>
            <w:tcW w:w="2234" w:type="pct"/>
            <w:vMerge/>
            <w:vAlign w:val="center"/>
            <w:hideMark/>
          </w:tcPr>
          <w:p w14:paraId="493270BA"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BB"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Support WIP freeze on raising new requisitions and worker changes</w:t>
            </w:r>
          </w:p>
        </w:tc>
      </w:tr>
      <w:tr w:rsidR="009C3F68" w:rsidRPr="00FE5DF9" w14:paraId="493270BF" w14:textId="77777777" w:rsidTr="000432D9">
        <w:trPr>
          <w:cantSplit/>
          <w:trHeight w:val="285"/>
        </w:trPr>
        <w:tc>
          <w:tcPr>
            <w:tcW w:w="2234" w:type="pct"/>
            <w:vMerge w:val="restart"/>
            <w:shd w:val="clear" w:color="auto" w:fill="auto"/>
            <w:vAlign w:val="center"/>
            <w:hideMark/>
          </w:tcPr>
          <w:p w14:paraId="493270BD"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Finance </w:t>
            </w:r>
          </w:p>
        </w:tc>
        <w:tc>
          <w:tcPr>
            <w:tcW w:w="2766" w:type="pct"/>
            <w:shd w:val="clear" w:color="auto" w:fill="auto"/>
            <w:vAlign w:val="center"/>
            <w:hideMark/>
          </w:tcPr>
          <w:p w14:paraId="493270BE"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 xml:space="preserve">Provide final billing and confirm final time sheeting details </w:t>
            </w:r>
          </w:p>
        </w:tc>
      </w:tr>
      <w:tr w:rsidR="009C3F68" w:rsidRPr="00FE5DF9" w14:paraId="493270C2" w14:textId="77777777" w:rsidTr="000432D9">
        <w:trPr>
          <w:cantSplit/>
          <w:trHeight w:val="285"/>
        </w:trPr>
        <w:tc>
          <w:tcPr>
            <w:tcW w:w="2234" w:type="pct"/>
            <w:vMerge/>
            <w:vAlign w:val="center"/>
            <w:hideMark/>
          </w:tcPr>
          <w:p w14:paraId="493270C0"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C1"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Support in closing down purchase orders (if applicable)</w:t>
            </w:r>
          </w:p>
        </w:tc>
      </w:tr>
      <w:tr w:rsidR="009C3F68" w:rsidRPr="00FE5DF9" w14:paraId="493270C5" w14:textId="77777777" w:rsidTr="000432D9">
        <w:trPr>
          <w:cantSplit/>
          <w:trHeight w:val="285"/>
        </w:trPr>
        <w:tc>
          <w:tcPr>
            <w:tcW w:w="2234" w:type="pct"/>
            <w:vMerge/>
            <w:vAlign w:val="center"/>
            <w:hideMark/>
          </w:tcPr>
          <w:p w14:paraId="493270C3"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p>
        </w:tc>
        <w:tc>
          <w:tcPr>
            <w:tcW w:w="2766" w:type="pct"/>
            <w:shd w:val="clear" w:color="auto" w:fill="auto"/>
            <w:vAlign w:val="center"/>
            <w:hideMark/>
          </w:tcPr>
          <w:p w14:paraId="493270C4" w14:textId="77777777" w:rsidR="009C3F68" w:rsidRPr="00FF0FB0" w:rsidRDefault="009C3F68" w:rsidP="00DF3FDD">
            <w:pPr>
              <w:widowControl w:val="0"/>
              <w:spacing w:after="0" w:line="300" w:lineRule="atLeast"/>
              <w:rPr>
                <w:rFonts w:ascii="Arial" w:eastAsia="Times New Roman" w:hAnsi="Arial" w:cs="Arial"/>
                <w:color w:val="000000"/>
                <w:sz w:val="24"/>
                <w:szCs w:val="24"/>
                <w:lang w:eastAsia="en-GB"/>
              </w:rPr>
            </w:pPr>
            <w:r w:rsidRPr="00FF0FB0">
              <w:rPr>
                <w:rFonts w:ascii="Arial" w:eastAsia="Times New Roman" w:hAnsi="Arial" w:cs="Arial"/>
                <w:color w:val="000000"/>
                <w:sz w:val="24"/>
                <w:szCs w:val="24"/>
                <w:lang w:eastAsia="en-GB"/>
              </w:rPr>
              <w:t>Support communication to workers and suppliers on billing transition</w:t>
            </w:r>
          </w:p>
        </w:tc>
      </w:tr>
    </w:tbl>
    <w:p w14:paraId="493270C6" w14:textId="77777777" w:rsidR="009C3F68" w:rsidRPr="00FF0FB0" w:rsidRDefault="009C3F68" w:rsidP="00DF3FDD">
      <w:pPr>
        <w:pStyle w:val="ListParagraph"/>
        <w:widowControl w:val="0"/>
        <w:spacing w:line="300" w:lineRule="atLeast"/>
        <w:jc w:val="both"/>
        <w:rPr>
          <w:rFonts w:ascii="Arial" w:eastAsia="Times New Roman" w:hAnsi="Arial" w:cs="Arial"/>
          <w:color w:val="000000"/>
          <w:sz w:val="24"/>
          <w:szCs w:val="24"/>
        </w:rPr>
      </w:pPr>
    </w:p>
    <w:p w14:paraId="493270C7" w14:textId="77777777" w:rsidR="009C3F68" w:rsidRPr="00FF0FB0" w:rsidRDefault="009C3F68" w:rsidP="00DF3FDD">
      <w:pPr>
        <w:pStyle w:val="ListParagraph"/>
        <w:widowControl w:val="0"/>
        <w:spacing w:line="300" w:lineRule="atLeast"/>
        <w:jc w:val="both"/>
        <w:rPr>
          <w:rFonts w:ascii="Arial" w:eastAsia="Times New Roman" w:hAnsi="Arial" w:cs="Arial"/>
          <w:color w:val="000000"/>
          <w:sz w:val="24"/>
          <w:szCs w:val="24"/>
        </w:rPr>
      </w:pPr>
    </w:p>
    <w:p w14:paraId="493270C8" w14:textId="7B654FB1" w:rsidR="00E74D9B" w:rsidRPr="00FF0FB0" w:rsidRDefault="00E74D9B" w:rsidP="000432D9">
      <w:pPr>
        <w:pStyle w:val="Heading3"/>
        <w:keepNext w:val="0"/>
        <w:keepLines w:val="0"/>
        <w:widowControl w:val="0"/>
        <w:numPr>
          <w:ilvl w:val="2"/>
          <w:numId w:val="18"/>
        </w:numPr>
        <w:ind w:left="1418" w:hanging="567"/>
      </w:pPr>
      <w:r w:rsidRPr="00FF0FB0">
        <w:t xml:space="preserve">Details of the transition of </w:t>
      </w:r>
      <w:r w:rsidR="00E54A5D" w:rsidRPr="00FF0FB0">
        <w:t>Deliverables</w:t>
      </w:r>
      <w:r w:rsidRPr="00FF0FB0">
        <w:t>, processes, data etc during the exit</w:t>
      </w:r>
      <w:r w:rsidR="00ED7A05">
        <w:t>;</w:t>
      </w:r>
    </w:p>
    <w:p w14:paraId="493270CA" w14:textId="78AF3D06" w:rsidR="00E74D9B" w:rsidRPr="000432D9" w:rsidRDefault="00E74D9B" w:rsidP="000432D9">
      <w:pPr>
        <w:pStyle w:val="Heading3"/>
        <w:keepNext w:val="0"/>
        <w:keepLines w:val="0"/>
        <w:widowControl w:val="0"/>
        <w:numPr>
          <w:ilvl w:val="2"/>
          <w:numId w:val="18"/>
        </w:numPr>
        <w:ind w:left="1418" w:hanging="567"/>
      </w:pPr>
      <w:r w:rsidRPr="00FF0FB0">
        <w:lastRenderedPageBreak/>
        <w:t>Details of how technologies and accesses will be retired</w:t>
      </w:r>
      <w:r w:rsidR="00ED7A05">
        <w:t>;</w:t>
      </w:r>
    </w:p>
    <w:p w14:paraId="493270CC" w14:textId="66179F03" w:rsidR="00E74D9B" w:rsidRPr="00DF3FDD" w:rsidRDefault="00E74D9B" w:rsidP="000432D9">
      <w:pPr>
        <w:pStyle w:val="Heading3"/>
        <w:keepNext w:val="0"/>
        <w:keepLines w:val="0"/>
        <w:widowControl w:val="0"/>
        <w:numPr>
          <w:ilvl w:val="2"/>
          <w:numId w:val="18"/>
        </w:numPr>
        <w:ind w:left="1418" w:hanging="567"/>
      </w:pPr>
      <w:r w:rsidRPr="00DF3FDD">
        <w:t>Issue management governance structure</w:t>
      </w:r>
      <w:r w:rsidR="00ED7A05">
        <w:t>; and</w:t>
      </w:r>
    </w:p>
    <w:p w14:paraId="493270CE" w14:textId="77777777" w:rsidR="00E74D9B" w:rsidRPr="00FF0FB0" w:rsidRDefault="00E74D9B" w:rsidP="000432D9">
      <w:pPr>
        <w:pStyle w:val="Heading3"/>
        <w:keepNext w:val="0"/>
        <w:keepLines w:val="0"/>
        <w:widowControl w:val="0"/>
        <w:numPr>
          <w:ilvl w:val="2"/>
          <w:numId w:val="18"/>
        </w:numPr>
        <w:ind w:left="1418" w:hanging="567"/>
      </w:pPr>
      <w:bookmarkStart w:id="5" w:name="_Toc503433335"/>
      <w:bookmarkStart w:id="6" w:name="_Toc32593573"/>
      <w:r w:rsidRPr="00FF0FB0">
        <w:t>Key assumptions</w:t>
      </w:r>
      <w:bookmarkEnd w:id="5"/>
      <w:bookmarkEnd w:id="6"/>
      <w:r w:rsidR="009C3F68" w:rsidRPr="00FF0FB0">
        <w:t>, which may, for example, include;</w:t>
      </w:r>
    </w:p>
    <w:p w14:paraId="493270CF" w14:textId="333C2A3B" w:rsidR="00E74D9B" w:rsidRPr="00FF0FB0" w:rsidRDefault="00E74D9B" w:rsidP="000432D9">
      <w:pPr>
        <w:pStyle w:val="ListParagraph"/>
        <w:widowControl w:val="0"/>
        <w:numPr>
          <w:ilvl w:val="0"/>
          <w:numId w:val="16"/>
        </w:numPr>
        <w:spacing w:before="120" w:after="120" w:line="0" w:lineRule="atLeast"/>
        <w:ind w:left="1843" w:hanging="425"/>
        <w:rPr>
          <w:rFonts w:ascii="Arial" w:eastAsia="Times New Roman" w:hAnsi="Arial" w:cs="Arial"/>
          <w:color w:val="000000"/>
          <w:sz w:val="24"/>
          <w:szCs w:val="24"/>
        </w:rPr>
      </w:pPr>
      <w:r w:rsidRPr="00FF0FB0">
        <w:rPr>
          <w:rFonts w:ascii="Arial" w:eastAsia="Times New Roman" w:hAnsi="Arial" w:cs="Arial"/>
          <w:color w:val="000000"/>
          <w:sz w:val="24"/>
          <w:szCs w:val="24"/>
        </w:rPr>
        <w:t>Data Requests – to be reasonable, specific and where necessary have clear articulation of why such data is required</w:t>
      </w:r>
      <w:r w:rsidR="00ED7A05">
        <w:rPr>
          <w:rFonts w:ascii="Arial" w:eastAsia="Times New Roman" w:hAnsi="Arial" w:cs="Arial"/>
          <w:color w:val="000000"/>
          <w:sz w:val="24"/>
          <w:szCs w:val="24"/>
        </w:rPr>
        <w:t>;</w:t>
      </w:r>
    </w:p>
    <w:p w14:paraId="493270D0" w14:textId="262CE1BE" w:rsidR="00E74D9B" w:rsidRPr="00FF0FB0" w:rsidRDefault="00E74D9B" w:rsidP="000432D9">
      <w:pPr>
        <w:pStyle w:val="ListParagraph"/>
        <w:widowControl w:val="0"/>
        <w:numPr>
          <w:ilvl w:val="0"/>
          <w:numId w:val="16"/>
        </w:numPr>
        <w:spacing w:before="120" w:after="120" w:line="0" w:lineRule="atLeast"/>
        <w:ind w:left="1843" w:hanging="425"/>
        <w:rPr>
          <w:rFonts w:ascii="Arial" w:eastAsia="Times New Roman" w:hAnsi="Arial" w:cs="Arial"/>
          <w:color w:val="000000"/>
          <w:sz w:val="24"/>
          <w:szCs w:val="24"/>
        </w:rPr>
      </w:pPr>
      <w:r w:rsidRPr="00FF0FB0">
        <w:rPr>
          <w:rFonts w:ascii="Arial" w:eastAsia="Times New Roman" w:hAnsi="Arial" w:cs="Arial"/>
          <w:color w:val="000000"/>
          <w:sz w:val="24"/>
          <w:szCs w:val="24"/>
        </w:rPr>
        <w:t>Response Timelines – timelines for activities and data requests to be reasonable and reflect the work effort required in producing / executing</w:t>
      </w:r>
      <w:r w:rsidR="00ED7A05">
        <w:rPr>
          <w:rFonts w:ascii="Arial" w:eastAsia="Times New Roman" w:hAnsi="Arial" w:cs="Arial"/>
          <w:color w:val="000000"/>
          <w:sz w:val="24"/>
          <w:szCs w:val="24"/>
        </w:rPr>
        <w:t>;</w:t>
      </w:r>
    </w:p>
    <w:p w14:paraId="493270D1" w14:textId="29BB6CC7" w:rsidR="00E74D9B" w:rsidRPr="00FF0FB0" w:rsidRDefault="00E74D9B" w:rsidP="000432D9">
      <w:pPr>
        <w:pStyle w:val="ListParagraph"/>
        <w:widowControl w:val="0"/>
        <w:numPr>
          <w:ilvl w:val="0"/>
          <w:numId w:val="16"/>
        </w:numPr>
        <w:spacing w:before="120" w:after="120" w:line="0" w:lineRule="atLeast"/>
        <w:ind w:left="1843" w:hanging="425"/>
        <w:rPr>
          <w:rFonts w:ascii="Arial" w:eastAsia="Times New Roman" w:hAnsi="Arial" w:cs="Arial"/>
          <w:color w:val="000000"/>
          <w:sz w:val="24"/>
          <w:szCs w:val="24"/>
        </w:rPr>
      </w:pPr>
      <w:r w:rsidRPr="00FF0FB0">
        <w:rPr>
          <w:rFonts w:ascii="Arial" w:eastAsia="Times New Roman" w:hAnsi="Arial" w:cs="Arial"/>
          <w:color w:val="000000" w:themeColor="text1"/>
          <w:sz w:val="24"/>
          <w:szCs w:val="24"/>
        </w:rPr>
        <w:t xml:space="preserve">Active Engagement –Supplier to be kept fully informed of </w:t>
      </w:r>
      <w:r w:rsidR="00DE5688" w:rsidRPr="00FF0FB0">
        <w:rPr>
          <w:rFonts w:ascii="Arial" w:eastAsia="Times New Roman" w:hAnsi="Arial" w:cs="Arial"/>
          <w:color w:val="000000" w:themeColor="text1"/>
          <w:sz w:val="24"/>
          <w:szCs w:val="24"/>
        </w:rPr>
        <w:t xml:space="preserve">Buyer </w:t>
      </w:r>
      <w:r w:rsidRPr="00FF0FB0">
        <w:rPr>
          <w:rFonts w:ascii="Arial" w:eastAsia="Times New Roman" w:hAnsi="Arial" w:cs="Arial"/>
          <w:color w:val="000000" w:themeColor="text1"/>
          <w:sz w:val="24"/>
          <w:szCs w:val="24"/>
        </w:rPr>
        <w:t>progress and updates</w:t>
      </w:r>
      <w:r w:rsidR="00ED7A05">
        <w:rPr>
          <w:rFonts w:ascii="Arial" w:eastAsia="Times New Roman" w:hAnsi="Arial" w:cs="Arial"/>
          <w:color w:val="000000" w:themeColor="text1"/>
          <w:sz w:val="24"/>
          <w:szCs w:val="24"/>
        </w:rPr>
        <w:t>; and</w:t>
      </w:r>
    </w:p>
    <w:p w14:paraId="493270D2" w14:textId="4F274ECD" w:rsidR="00E74D9B" w:rsidRPr="00FF0FB0" w:rsidRDefault="00DE5688" w:rsidP="000432D9">
      <w:pPr>
        <w:pStyle w:val="ListParagraph"/>
        <w:widowControl w:val="0"/>
        <w:numPr>
          <w:ilvl w:val="0"/>
          <w:numId w:val="16"/>
        </w:numPr>
        <w:spacing w:before="120" w:after="120" w:line="0" w:lineRule="atLeast"/>
        <w:ind w:left="1843" w:hanging="425"/>
        <w:rPr>
          <w:rFonts w:ascii="Arial" w:eastAsia="Times New Roman" w:hAnsi="Arial" w:cs="Arial"/>
          <w:color w:val="000000"/>
          <w:sz w:val="24"/>
          <w:szCs w:val="24"/>
        </w:rPr>
      </w:pPr>
      <w:r w:rsidRPr="00FF0FB0">
        <w:rPr>
          <w:rFonts w:ascii="Arial" w:eastAsia="Times New Roman" w:hAnsi="Arial" w:cs="Arial"/>
          <w:bCs/>
          <w:color w:val="000000"/>
          <w:sz w:val="24"/>
          <w:szCs w:val="24"/>
        </w:rPr>
        <w:t>Buyer</w:t>
      </w:r>
      <w:r w:rsidR="00E74D9B" w:rsidRPr="00FF0FB0">
        <w:rPr>
          <w:rFonts w:ascii="Arial" w:eastAsia="Times New Roman" w:hAnsi="Arial" w:cs="Arial"/>
          <w:bCs/>
          <w:color w:val="000000"/>
          <w:sz w:val="24"/>
          <w:szCs w:val="24"/>
        </w:rPr>
        <w:t xml:space="preserve"> </w:t>
      </w:r>
      <w:r w:rsidR="00E74D9B" w:rsidRPr="00FF0FB0">
        <w:rPr>
          <w:rFonts w:ascii="Arial" w:eastAsia="Times New Roman" w:hAnsi="Arial" w:cs="Arial"/>
          <w:color w:val="000000"/>
          <w:sz w:val="24"/>
          <w:szCs w:val="24"/>
        </w:rPr>
        <w:t>Points of Contact –provide dedicated resource to support in the management of the exit and help manage issues and escalations</w:t>
      </w:r>
      <w:r w:rsidR="006352C1">
        <w:rPr>
          <w:rFonts w:ascii="Arial" w:eastAsia="Times New Roman" w:hAnsi="Arial" w:cs="Arial"/>
          <w:color w:val="000000"/>
          <w:sz w:val="24"/>
          <w:szCs w:val="24"/>
        </w:rPr>
        <w:t>.</w:t>
      </w:r>
    </w:p>
    <w:p w14:paraId="0C28BB74" w14:textId="75CF75FC" w:rsidR="003030B1" w:rsidRPr="00942A3A" w:rsidRDefault="003030B1" w:rsidP="00327FA4">
      <w:pPr>
        <w:pStyle w:val="Heading1"/>
        <w:keepLines w:val="0"/>
        <w:widowControl w:val="0"/>
        <w:spacing w:before="360" w:after="240"/>
      </w:pPr>
      <w:r w:rsidRPr="00942A3A">
        <w:t>Exit</w:t>
      </w:r>
      <w:r w:rsidRPr="00942A3A">
        <w:rPr>
          <w:rStyle w:val="Heading1S10Char"/>
          <w:rFonts w:eastAsiaTheme="majorEastAsia"/>
          <w:b/>
          <w:bCs/>
        </w:rPr>
        <w:t xml:space="preserve"> Management</w:t>
      </w:r>
    </w:p>
    <w:p w14:paraId="73758A01" w14:textId="65579D5A" w:rsidR="003030B1" w:rsidRPr="00177170" w:rsidRDefault="003030B1" w:rsidP="00327FA4">
      <w:pPr>
        <w:pStyle w:val="Heading2"/>
        <w:keepLines w:val="0"/>
        <w:widowControl w:val="0"/>
        <w:rPr>
          <w:lang w:eastAsia="en-GB"/>
        </w:rPr>
      </w:pPr>
      <w:bookmarkStart w:id="7" w:name="_Ref45884271"/>
      <w:r w:rsidRPr="00177170">
        <w:rPr>
          <w:lang w:eastAsia="en-GB"/>
        </w:rPr>
        <w:t>The Supplier agrees that within 20 Working Days of the earliest of:</w:t>
      </w:r>
      <w:bookmarkEnd w:id="7"/>
    </w:p>
    <w:p w14:paraId="7F3C3681" w14:textId="13A713EE" w:rsidR="003030B1" w:rsidRPr="00177170" w:rsidRDefault="003030B1" w:rsidP="000432D9">
      <w:pPr>
        <w:pStyle w:val="Heading3"/>
        <w:keepLines w:val="0"/>
        <w:ind w:left="1985" w:hanging="1134"/>
      </w:pPr>
      <w:r w:rsidRPr="00177170">
        <w:t xml:space="preserve">receipt of a notification from the Buyer of a Service Transfer or intended Service Transfer; </w:t>
      </w:r>
    </w:p>
    <w:p w14:paraId="4403F3AA" w14:textId="11059E8D" w:rsidR="003030B1" w:rsidRPr="00177170" w:rsidRDefault="003030B1" w:rsidP="000432D9">
      <w:pPr>
        <w:pStyle w:val="Heading3"/>
        <w:keepNext w:val="0"/>
        <w:keepLines w:val="0"/>
        <w:widowControl w:val="0"/>
        <w:ind w:left="1985" w:hanging="1134"/>
      </w:pPr>
      <w:r w:rsidRPr="00177170">
        <w:t xml:space="preserve">receipt of the giving of notice of early termination or any Partial Termination of the relevant Contract; </w:t>
      </w:r>
    </w:p>
    <w:p w14:paraId="66A7A3E3" w14:textId="5F293D49" w:rsidR="003030B1" w:rsidRPr="00177170" w:rsidRDefault="003030B1" w:rsidP="000432D9">
      <w:pPr>
        <w:pStyle w:val="Heading3"/>
        <w:keepNext w:val="0"/>
        <w:keepLines w:val="0"/>
        <w:widowControl w:val="0"/>
        <w:ind w:left="1985" w:hanging="1134"/>
      </w:pPr>
      <w:r w:rsidRPr="00177170">
        <w:t>the date which is 12 Months before the end of the Term; and</w:t>
      </w:r>
    </w:p>
    <w:p w14:paraId="547B9E28" w14:textId="53B07EA1" w:rsidR="003030B1" w:rsidRPr="00177170" w:rsidRDefault="003030B1" w:rsidP="000432D9">
      <w:pPr>
        <w:pStyle w:val="Heading3"/>
        <w:keepNext w:val="0"/>
        <w:keepLines w:val="0"/>
        <w:widowControl w:val="0"/>
        <w:ind w:left="1985" w:hanging="1134"/>
      </w:pPr>
      <w:r w:rsidRPr="00177170">
        <w:t>receipt of a written request of the Buyer at any time,</w:t>
      </w:r>
    </w:p>
    <w:p w14:paraId="685EE812" w14:textId="5D70A945" w:rsidR="00337031" w:rsidRPr="00177170" w:rsidRDefault="00337031" w:rsidP="000432D9">
      <w:pPr>
        <w:widowControl w:val="0"/>
        <w:spacing w:line="300" w:lineRule="atLeast"/>
        <w:ind w:left="709"/>
        <w:jc w:val="both"/>
        <w:rPr>
          <w:rFonts w:ascii="Arial" w:eastAsia="Times New Roman" w:hAnsi="Arial" w:cs="Arial"/>
          <w:color w:val="000000"/>
          <w:sz w:val="24"/>
          <w:szCs w:val="24"/>
        </w:rPr>
      </w:pPr>
      <w:r w:rsidRPr="00177170">
        <w:rPr>
          <w:rFonts w:ascii="Arial" w:eastAsia="Times New Roman" w:hAnsi="Arial" w:cs="Arial"/>
          <w:color w:val="000000"/>
          <w:sz w:val="24"/>
          <w:szCs w:val="24"/>
        </w:rPr>
        <w:t>the Supplier shall provide a complete set of information it is required to provide under the Exit Plan and the Parties shall agree the dates for completion of the activities set out in the Exit Plan.  The Exit Plan, once populated with dates for the completion of activities (</w:t>
      </w:r>
      <w:r w:rsidRPr="00177170">
        <w:rPr>
          <w:rFonts w:ascii="Arial" w:eastAsia="Times New Roman" w:hAnsi="Arial" w:cs="Arial"/>
          <w:b/>
          <w:color w:val="000000"/>
          <w:sz w:val="24"/>
          <w:szCs w:val="24"/>
        </w:rPr>
        <w:t>"Final Exit Plan"</w:t>
      </w:r>
      <w:r w:rsidRPr="00177170">
        <w:rPr>
          <w:rFonts w:ascii="Arial" w:eastAsia="Times New Roman" w:hAnsi="Arial" w:cs="Arial"/>
          <w:color w:val="000000"/>
          <w:sz w:val="24"/>
          <w:szCs w:val="24"/>
        </w:rPr>
        <w:t>) shall govern exit and transition of the Deliverables.</w:t>
      </w:r>
    </w:p>
    <w:p w14:paraId="04793152" w14:textId="34F6CC04" w:rsidR="00337031" w:rsidRPr="00177170" w:rsidRDefault="00337031" w:rsidP="00DF3FDD">
      <w:pPr>
        <w:pStyle w:val="Heading2"/>
        <w:keepNext w:val="0"/>
        <w:keepLines w:val="0"/>
        <w:widowControl w:val="0"/>
      </w:pPr>
      <w:r w:rsidRPr="00177170">
        <w:t>In relation to the delivery of the activities in a Final Exit Plan for a Service Transfer, the Supplier shall provide all reasonable co-operation and collaboration with the Buyer and Replacement Supplier including to agree aligned dates and to perform, and facilitate the performance of, aligned activities.</w:t>
      </w:r>
    </w:p>
    <w:p w14:paraId="3F2E10D4" w14:textId="7AFD9402" w:rsidR="00702ED8" w:rsidRPr="00177170" w:rsidRDefault="00702ED8" w:rsidP="00DF3FDD">
      <w:pPr>
        <w:pStyle w:val="Heading2"/>
        <w:keepNext w:val="0"/>
        <w:keepLines w:val="0"/>
        <w:widowControl w:val="0"/>
      </w:pPr>
      <w:r w:rsidRPr="00177170">
        <w:t>To the extent it does not adversely affect the Supplier's performance of any remaining Deliverables, then for the purposes of executing a Final Exit Plan, the Supplier shall:</w:t>
      </w:r>
    </w:p>
    <w:p w14:paraId="250B6DAA" w14:textId="5F46B139" w:rsidR="00702ED8" w:rsidRPr="008006EE" w:rsidRDefault="00702ED8" w:rsidP="000432D9">
      <w:pPr>
        <w:pStyle w:val="Heading3"/>
        <w:keepNext w:val="0"/>
        <w:keepLines w:val="0"/>
        <w:widowControl w:val="0"/>
        <w:ind w:left="1985" w:hanging="1276"/>
      </w:pPr>
      <w:r w:rsidRPr="008006EE">
        <w:t>cease to use the Government Data (subject to para</w:t>
      </w:r>
      <w:r w:rsidRPr="008231CF">
        <w:t xml:space="preserve">graph </w:t>
      </w:r>
      <w:r w:rsidR="00F900D4" w:rsidRPr="008231CF">
        <w:fldChar w:fldCharType="begin"/>
      </w:r>
      <w:r w:rsidR="00F900D4" w:rsidRPr="008231CF">
        <w:instrText xml:space="preserve"> REF _Ref45884320 \w \h </w:instrText>
      </w:r>
      <w:r w:rsidR="008006EE">
        <w:instrText xml:space="preserve"> \* MERGEFORMAT </w:instrText>
      </w:r>
      <w:r w:rsidR="00F900D4" w:rsidRPr="008231CF">
        <w:fldChar w:fldCharType="separate"/>
      </w:r>
      <w:r w:rsidR="008006EE">
        <w:t>4.5</w:t>
      </w:r>
      <w:r w:rsidR="00F900D4" w:rsidRPr="008231CF">
        <w:fldChar w:fldCharType="end"/>
      </w:r>
      <w:r w:rsidRPr="008231CF">
        <w:t>);</w:t>
      </w:r>
    </w:p>
    <w:p w14:paraId="427AEB19" w14:textId="3128C8C7" w:rsidR="00702ED8" w:rsidRPr="008231CF" w:rsidRDefault="00702ED8" w:rsidP="000432D9">
      <w:pPr>
        <w:pStyle w:val="Heading3"/>
        <w:keepNext w:val="0"/>
        <w:keepLines w:val="0"/>
        <w:widowControl w:val="0"/>
        <w:ind w:left="1985" w:hanging="1276"/>
      </w:pPr>
      <w:r w:rsidRPr="008006EE">
        <w:t xml:space="preserve">comply with the deletion requirements described in </w:t>
      </w:r>
      <w:r w:rsidRPr="008231CF">
        <w:t xml:space="preserve">paragraph </w:t>
      </w:r>
      <w:r w:rsidR="00F900D4" w:rsidRPr="008231CF">
        <w:fldChar w:fldCharType="begin"/>
      </w:r>
      <w:r w:rsidR="00F900D4" w:rsidRPr="008231CF">
        <w:instrText xml:space="preserve"> REF _Ref45884342 \w \h </w:instrText>
      </w:r>
      <w:r w:rsidR="008006EE">
        <w:instrText xml:space="preserve"> \* MERGEFORMAT </w:instrText>
      </w:r>
      <w:r w:rsidR="00F900D4" w:rsidRPr="008231CF">
        <w:fldChar w:fldCharType="separate"/>
      </w:r>
      <w:r w:rsidR="008006EE">
        <w:t>4.4</w:t>
      </w:r>
      <w:r w:rsidR="00F900D4" w:rsidRPr="008231CF">
        <w:fldChar w:fldCharType="end"/>
      </w:r>
      <w:r w:rsidRPr="008231CF">
        <w:t xml:space="preserve"> </w:t>
      </w:r>
      <w:r w:rsidRPr="008231CF">
        <w:lastRenderedPageBreak/>
        <w:t>as</w:t>
      </w:r>
      <w:r w:rsidRPr="008006EE">
        <w:t xml:space="preserve"> impacted by </w:t>
      </w:r>
      <w:r w:rsidRPr="008231CF">
        <w:t xml:space="preserve">paragraph </w:t>
      </w:r>
      <w:r w:rsidR="00F900D4" w:rsidRPr="008231CF">
        <w:fldChar w:fldCharType="begin"/>
      </w:r>
      <w:r w:rsidR="00F900D4" w:rsidRPr="008231CF">
        <w:instrText xml:space="preserve"> REF _Ref45884320 \w \h </w:instrText>
      </w:r>
      <w:r w:rsidR="008006EE">
        <w:instrText xml:space="preserve"> \* MERGEFORMAT </w:instrText>
      </w:r>
      <w:r w:rsidR="00F900D4" w:rsidRPr="008231CF">
        <w:fldChar w:fldCharType="separate"/>
      </w:r>
      <w:r w:rsidR="008006EE">
        <w:t>4.5</w:t>
      </w:r>
      <w:r w:rsidR="00F900D4" w:rsidRPr="008231CF">
        <w:fldChar w:fldCharType="end"/>
      </w:r>
      <w:r w:rsidRPr="008231CF">
        <w:t>;</w:t>
      </w:r>
    </w:p>
    <w:p w14:paraId="0099FDD8" w14:textId="3D0267DF" w:rsidR="00702ED8" w:rsidRPr="00177170" w:rsidRDefault="00702ED8" w:rsidP="000432D9">
      <w:pPr>
        <w:pStyle w:val="Heading3"/>
        <w:keepNext w:val="0"/>
        <w:keepLines w:val="0"/>
        <w:widowControl w:val="0"/>
        <w:ind w:left="1985" w:hanging="1276"/>
      </w:pPr>
      <w:r w:rsidRPr="00177170">
        <w:t>return to the Buyer all of the following if it is in the Supplier's possession or control:</w:t>
      </w:r>
    </w:p>
    <w:p w14:paraId="2EAC0031" w14:textId="2742E731" w:rsidR="00702ED8" w:rsidRPr="00177170" w:rsidRDefault="00702ED8" w:rsidP="000432D9">
      <w:pPr>
        <w:pStyle w:val="ListParagraph"/>
        <w:widowControl w:val="0"/>
        <w:numPr>
          <w:ilvl w:val="0"/>
          <w:numId w:val="16"/>
        </w:numPr>
        <w:spacing w:before="120" w:after="120" w:line="0" w:lineRule="atLeast"/>
        <w:ind w:left="2977" w:hanging="850"/>
        <w:rPr>
          <w:rFonts w:ascii="Arial" w:eastAsia="Times New Roman" w:hAnsi="Arial" w:cs="Arial"/>
          <w:color w:val="000000"/>
          <w:sz w:val="24"/>
          <w:szCs w:val="24"/>
        </w:rPr>
      </w:pPr>
      <w:r w:rsidRPr="00177170">
        <w:rPr>
          <w:rFonts w:ascii="Arial" w:eastAsia="Times New Roman" w:hAnsi="Arial" w:cs="Arial"/>
          <w:color w:val="000000"/>
          <w:sz w:val="24"/>
          <w:szCs w:val="24"/>
        </w:rPr>
        <w:t>all copies of Buyer Software licensed or provided by the Buyer;</w:t>
      </w:r>
    </w:p>
    <w:p w14:paraId="17901E89" w14:textId="4013C4B3" w:rsidR="00702ED8" w:rsidRPr="00177170" w:rsidRDefault="00702ED8" w:rsidP="000432D9">
      <w:pPr>
        <w:pStyle w:val="ListParagraph"/>
        <w:widowControl w:val="0"/>
        <w:numPr>
          <w:ilvl w:val="0"/>
          <w:numId w:val="16"/>
        </w:numPr>
        <w:spacing w:before="120" w:after="120" w:line="0" w:lineRule="atLeast"/>
        <w:ind w:left="2977" w:hanging="850"/>
        <w:rPr>
          <w:rFonts w:ascii="Arial" w:eastAsia="Times New Roman" w:hAnsi="Arial" w:cs="Arial"/>
          <w:color w:val="000000"/>
          <w:sz w:val="24"/>
          <w:szCs w:val="24"/>
        </w:rPr>
      </w:pPr>
      <w:r w:rsidRPr="00177170">
        <w:rPr>
          <w:rFonts w:ascii="Arial" w:eastAsia="Times New Roman" w:hAnsi="Arial" w:cs="Arial"/>
          <w:color w:val="000000"/>
          <w:sz w:val="24"/>
          <w:szCs w:val="24"/>
        </w:rPr>
        <w:t>all materials and documents owned by the Buyer; and</w:t>
      </w:r>
    </w:p>
    <w:p w14:paraId="0EF03EBC" w14:textId="688F664A" w:rsidR="00702ED8" w:rsidRPr="00177170" w:rsidRDefault="00702ED8" w:rsidP="000432D9">
      <w:pPr>
        <w:pStyle w:val="ListParagraph"/>
        <w:widowControl w:val="0"/>
        <w:numPr>
          <w:ilvl w:val="0"/>
          <w:numId w:val="16"/>
        </w:numPr>
        <w:spacing w:before="120" w:after="120" w:line="0" w:lineRule="atLeast"/>
        <w:ind w:left="2977" w:hanging="850"/>
        <w:rPr>
          <w:rFonts w:ascii="Arial" w:eastAsia="Times New Roman" w:hAnsi="Arial" w:cs="Arial"/>
          <w:color w:val="000000"/>
          <w:sz w:val="24"/>
          <w:szCs w:val="24"/>
        </w:rPr>
      </w:pPr>
      <w:r w:rsidRPr="00177170">
        <w:rPr>
          <w:rFonts w:ascii="Arial" w:eastAsia="Times New Roman" w:hAnsi="Arial" w:cs="Arial"/>
          <w:color w:val="000000"/>
          <w:sz w:val="24"/>
          <w:szCs w:val="24"/>
        </w:rPr>
        <w:t xml:space="preserve">any other Buyer Assets provided by the Buyer. </w:t>
      </w:r>
    </w:p>
    <w:p w14:paraId="31A35CAC" w14:textId="0759CD06" w:rsidR="00702ED8" w:rsidRPr="00177170" w:rsidRDefault="00702ED8" w:rsidP="00DF3FDD">
      <w:pPr>
        <w:pStyle w:val="Heading2"/>
        <w:keepNext w:val="0"/>
        <w:keepLines w:val="0"/>
        <w:widowControl w:val="0"/>
      </w:pPr>
      <w:bookmarkStart w:id="8" w:name="_Ref45884342"/>
      <w:r w:rsidRPr="00177170">
        <w:t xml:space="preserve">Subject to paragraph </w:t>
      </w:r>
      <w:r w:rsidR="00C732BE">
        <w:fldChar w:fldCharType="begin"/>
      </w:r>
      <w:r w:rsidR="00C732BE">
        <w:instrText xml:space="preserve"> REF _Ref45884320 \r \h </w:instrText>
      </w:r>
      <w:r w:rsidR="00C732BE">
        <w:fldChar w:fldCharType="separate"/>
      </w:r>
      <w:r w:rsidR="008006EE">
        <w:t>4.5</w:t>
      </w:r>
      <w:r w:rsidR="00C732BE">
        <w:fldChar w:fldCharType="end"/>
      </w:r>
      <w:r w:rsidRPr="00177170">
        <w:t>, the Supplier shall as soon as reasonably practicable after termination of the Deliverables return (if required by the Buyer) all Government Data and any copies of it or of the information it contains, and in any case securely and irrevocably delete from its systems the Government Data in accordance with the applicable provisions of Call Off Schedule 9</w:t>
      </w:r>
      <w:r w:rsidR="00BE7892">
        <w:t>A</w:t>
      </w:r>
      <w:r w:rsidRPr="00177170">
        <w:t xml:space="preserve"> (</w:t>
      </w:r>
      <w:r w:rsidR="00BE7892">
        <w:t xml:space="preserve">Health </w:t>
      </w:r>
      <w:r w:rsidR="00B8163C" w:rsidRPr="00E14815">
        <w:t>Security</w:t>
      </w:r>
      <w:r w:rsidR="00B8163C" w:rsidRPr="00177170">
        <w:t>)</w:t>
      </w:r>
      <w:r w:rsidRPr="00177170">
        <w:t xml:space="preserve">.  The Supplier shall certify that all copies of the </w:t>
      </w:r>
      <w:r w:rsidR="00B8163C" w:rsidRPr="00177170">
        <w:t>Government</w:t>
      </w:r>
      <w:r w:rsidRPr="00177170">
        <w:t xml:space="preserve"> Data have been deleted within a reasonable time and in any event not later than 90 days after termination of the </w:t>
      </w:r>
      <w:r w:rsidR="00B8163C" w:rsidRPr="00177170">
        <w:t>Deliverables</w:t>
      </w:r>
      <w:r w:rsidRPr="00177170">
        <w:t>.</w:t>
      </w:r>
      <w:bookmarkEnd w:id="8"/>
    </w:p>
    <w:p w14:paraId="6326EE50" w14:textId="23FA5AB6" w:rsidR="00702ED8" w:rsidRPr="00177170" w:rsidRDefault="00702ED8" w:rsidP="00DF3FDD">
      <w:pPr>
        <w:pStyle w:val="Heading2"/>
        <w:keepNext w:val="0"/>
        <w:keepLines w:val="0"/>
        <w:widowControl w:val="0"/>
      </w:pPr>
      <w:bookmarkStart w:id="9" w:name="_Ref45884320"/>
      <w:r w:rsidRPr="00177170">
        <w:t xml:space="preserve">The Supplier </w:t>
      </w:r>
      <w:r w:rsidR="00754F98">
        <w:t>may</w:t>
      </w:r>
      <w:r w:rsidR="00754F98" w:rsidRPr="00177170">
        <w:t xml:space="preserve"> </w:t>
      </w:r>
      <w:r w:rsidRPr="00177170">
        <w:t xml:space="preserve">continue to Process Personal Data contained within the </w:t>
      </w:r>
      <w:r w:rsidR="00BE7892">
        <w:t>Government</w:t>
      </w:r>
      <w:r w:rsidRPr="00177170">
        <w:t xml:space="preserve"> Data following termination of the </w:t>
      </w:r>
      <w:r w:rsidR="00B8163C" w:rsidRPr="00177170">
        <w:t>Deliverables</w:t>
      </w:r>
      <w:r w:rsidRPr="00177170">
        <w:t xml:space="preserve"> to the extent necessary to support access by </w:t>
      </w:r>
      <w:r w:rsidR="0006019B">
        <w:t xml:space="preserve">the </w:t>
      </w:r>
      <w:r w:rsidRPr="00177170">
        <w:t xml:space="preserve">Controllers to historical activity or audit data contained in the Supplier's systems </w:t>
      </w:r>
      <w:r w:rsidR="0006019B">
        <w:t xml:space="preserve">where set out as required and </w:t>
      </w:r>
      <w:r w:rsidRPr="00177170">
        <w:t xml:space="preserve">in accordance with the conditions set out in </w:t>
      </w:r>
      <w:r w:rsidR="00B8163C" w:rsidRPr="00177170">
        <w:t>Joint Schedule 11 (</w:t>
      </w:r>
      <w:r w:rsidR="00B8163C" w:rsidRPr="00E14815">
        <w:t>Processing Data</w:t>
      </w:r>
      <w:r w:rsidR="00B8163C" w:rsidRPr="00177170">
        <w:t>)</w:t>
      </w:r>
      <w:r w:rsidRPr="00177170">
        <w:t>.</w:t>
      </w:r>
      <w:bookmarkEnd w:id="9"/>
    </w:p>
    <w:p w14:paraId="6791619E" w14:textId="578F0513" w:rsidR="00702ED8" w:rsidRPr="00177170" w:rsidRDefault="00702ED8" w:rsidP="00DF3FDD">
      <w:pPr>
        <w:pStyle w:val="Heading2"/>
        <w:keepNext w:val="0"/>
        <w:keepLines w:val="0"/>
        <w:widowControl w:val="0"/>
      </w:pPr>
      <w:r w:rsidRPr="00177170">
        <w:t xml:space="preserve">When the Supplier believes that it has completed all activities in a </w:t>
      </w:r>
      <w:r w:rsidR="009B6CB9" w:rsidRPr="00177170">
        <w:t>Final</w:t>
      </w:r>
      <w:r w:rsidRPr="00177170">
        <w:t xml:space="preserve"> Exit Plan, the Supplier shall notify the </w:t>
      </w:r>
      <w:r w:rsidR="009B6CB9" w:rsidRPr="00177170">
        <w:t>Buyer</w:t>
      </w:r>
      <w:r w:rsidRPr="00177170">
        <w:t xml:space="preserve"> who shall then assess whether it is satisfied that the activities have been successfully completed.  If the </w:t>
      </w:r>
      <w:r w:rsidR="009B6CB9" w:rsidRPr="00177170">
        <w:t>Buyer</w:t>
      </w:r>
      <w:r w:rsidRPr="00177170">
        <w:t xml:space="preserve"> agrees that the Supplier has completed all of the required activities for that particular </w:t>
      </w:r>
      <w:r w:rsidR="009B6CB9" w:rsidRPr="00177170">
        <w:t>Final</w:t>
      </w:r>
      <w:r w:rsidRPr="00177170">
        <w:t xml:space="preserve"> Exit Plan, it shall confirm its agreement in writing.  If the </w:t>
      </w:r>
      <w:r w:rsidR="009B6CB9" w:rsidRPr="00177170">
        <w:t>Buyer</w:t>
      </w:r>
      <w:r w:rsidRPr="00177170">
        <w:t xml:space="preserve"> does not agree with the Supplier's assertion that it has completed all of the required activities, then it shall notify the Supplier of the reasons why and following receipt of such reasons, the Supplier shall complete the required outstanding actions in a timeframe as will be reasonably agreed between the Parties.</w:t>
      </w:r>
    </w:p>
    <w:p w14:paraId="4274E389" w14:textId="40172CC5" w:rsidR="009B6CB9" w:rsidRPr="00FE5DF9" w:rsidRDefault="009B6CB9" w:rsidP="00DF3FDD">
      <w:pPr>
        <w:pStyle w:val="Heading1"/>
        <w:keepNext w:val="0"/>
        <w:keepLines w:val="0"/>
        <w:widowControl w:val="0"/>
      </w:pPr>
      <w:r w:rsidRPr="00FE5DF9">
        <w:t>Confidential I</w:t>
      </w:r>
      <w:bookmarkStart w:id="10" w:name="_GoBack"/>
      <w:bookmarkEnd w:id="10"/>
      <w:r w:rsidRPr="00FE5DF9">
        <w:t>nformation</w:t>
      </w:r>
    </w:p>
    <w:p w14:paraId="1949D2B1" w14:textId="156A3944" w:rsidR="009B6CB9" w:rsidRPr="00177170" w:rsidRDefault="009B6CB9" w:rsidP="00DF3FDD">
      <w:pPr>
        <w:pStyle w:val="Heading2"/>
        <w:keepNext w:val="0"/>
        <w:keepLines w:val="0"/>
        <w:widowControl w:val="0"/>
      </w:pPr>
      <w:r w:rsidRPr="00177170">
        <w:t>Subject to the requirements of Joint Schedule 11 (</w:t>
      </w:r>
      <w:r w:rsidRPr="00E14815">
        <w:t>Processing Data</w:t>
      </w:r>
      <w:r w:rsidRPr="00177170">
        <w:t xml:space="preserve">) in relation to data retention, return and destruction, upon termination or expiry of this Call Off Contract,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completing a Service Transfer or for statutory compliance purposes.  The parties agree that any </w:t>
      </w:r>
      <w:r w:rsidRPr="00177170">
        <w:lastRenderedPageBreak/>
        <w:t>Personal Data will be managed in accordance with Joint Schedule 11 (</w:t>
      </w:r>
      <w:r w:rsidRPr="00E14815">
        <w:t>Processing Data</w:t>
      </w:r>
      <w:r w:rsidRPr="00177170">
        <w:t>).</w:t>
      </w:r>
    </w:p>
    <w:p w14:paraId="40249490" w14:textId="5A78AB57" w:rsidR="009B6CB9" w:rsidRPr="00177170" w:rsidRDefault="009B6CB9" w:rsidP="00DF3FDD">
      <w:pPr>
        <w:pStyle w:val="Heading2"/>
        <w:keepNext w:val="0"/>
        <w:keepLines w:val="0"/>
        <w:widowControl w:val="0"/>
      </w:pPr>
      <w:r w:rsidRPr="00177170">
        <w:t xml:space="preserve">The Supplier agrees that any Final Exit Plan agreed pursuant to the process </w:t>
      </w:r>
      <w:r w:rsidRPr="008006EE">
        <w:t xml:space="preserve">described in </w:t>
      </w:r>
      <w:r w:rsidRPr="008231CF">
        <w:t xml:space="preserve">paragraph </w:t>
      </w:r>
      <w:r w:rsidR="00C732BE" w:rsidRPr="008231CF">
        <w:fldChar w:fldCharType="begin"/>
      </w:r>
      <w:r w:rsidR="00C732BE" w:rsidRPr="008231CF">
        <w:instrText xml:space="preserve"> REF _Ref45884271 \r \h </w:instrText>
      </w:r>
      <w:r w:rsidR="008006EE">
        <w:instrText xml:space="preserve"> \* MERGEFORMAT </w:instrText>
      </w:r>
      <w:r w:rsidR="00C732BE" w:rsidRPr="008231CF">
        <w:fldChar w:fldCharType="separate"/>
      </w:r>
      <w:r w:rsidR="008006EE" w:rsidRPr="008231CF">
        <w:t>4.1</w:t>
      </w:r>
      <w:r w:rsidR="00C732BE" w:rsidRPr="008231CF">
        <w:fldChar w:fldCharType="end"/>
      </w:r>
      <w:r w:rsidRPr="008006EE">
        <w:t xml:space="preserve"> may</w:t>
      </w:r>
      <w:r w:rsidRPr="00177170">
        <w:t xml:space="preserve"> be shared with CCS and with the Replacement Supplier(s).</w:t>
      </w:r>
    </w:p>
    <w:p w14:paraId="56641DFF" w14:textId="4A8FFE13" w:rsidR="009B6CB9" w:rsidRPr="00FE5DF9" w:rsidRDefault="009B6CB9" w:rsidP="00DF3FDD">
      <w:pPr>
        <w:pStyle w:val="Heading1"/>
        <w:keepNext w:val="0"/>
        <w:keepLines w:val="0"/>
        <w:widowControl w:val="0"/>
      </w:pPr>
      <w:r w:rsidRPr="00FE5DF9">
        <w:t>Charges</w:t>
      </w:r>
    </w:p>
    <w:p w14:paraId="068D2BC4" w14:textId="0B485F07" w:rsidR="00337031" w:rsidRPr="00177170" w:rsidRDefault="009B6CB9" w:rsidP="00DF3FDD">
      <w:pPr>
        <w:pStyle w:val="Heading2"/>
        <w:keepNext w:val="0"/>
        <w:keepLines w:val="0"/>
        <w:widowControl w:val="0"/>
      </w:pPr>
      <w:r w:rsidRPr="00177170">
        <w:t>Each Party shall bear its own costs in relation to the performance of its obligations described in this schedule.</w:t>
      </w:r>
    </w:p>
    <w:sectPr w:rsidR="00337031" w:rsidRPr="00177170" w:rsidSect="00E77F5A">
      <w:headerReference w:type="default" r:id="rId13"/>
      <w:footerReference w:type="default" r:id="rId14"/>
      <w:footerReference w:type="first" r:id="rId15"/>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D86B" w16cex:dateUtc="2020-07-30T2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6FAEC" w14:textId="77777777" w:rsidR="00051F6C" w:rsidRDefault="00051F6C">
      <w:pPr>
        <w:spacing w:after="0" w:line="240" w:lineRule="auto"/>
      </w:pPr>
      <w:r>
        <w:separator/>
      </w:r>
    </w:p>
  </w:endnote>
  <w:endnote w:type="continuationSeparator" w:id="0">
    <w:p w14:paraId="2B644266" w14:textId="77777777" w:rsidR="00051F6C" w:rsidRDefault="00051F6C">
      <w:pPr>
        <w:spacing w:after="0" w:line="240" w:lineRule="auto"/>
      </w:pPr>
      <w:r>
        <w:continuationSeparator/>
      </w:r>
    </w:p>
  </w:endnote>
  <w:endnote w:type="continuationNotice" w:id="1">
    <w:p w14:paraId="75E54EDC" w14:textId="77777777" w:rsidR="00051F6C" w:rsidRDefault="00051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270DB" w14:textId="77777777" w:rsidR="002E6A5D" w:rsidRDefault="002E6A5D" w:rsidP="00FB41BB">
    <w:pPr>
      <w:pStyle w:val="Footer"/>
      <w:rPr>
        <w:rFonts w:ascii="Arial" w:hAnsi="Arial" w:cs="Arial"/>
        <w:sz w:val="20"/>
      </w:rPr>
    </w:pPr>
  </w:p>
  <w:p w14:paraId="493270DC"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p>
  <w:p w14:paraId="493270DD" w14:textId="2240644B"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00D16B47">
      <w:rPr>
        <w:rFonts w:ascii="Arial" w:hAnsi="Arial" w:cs="Arial"/>
        <w:sz w:val="20"/>
      </w:rPr>
      <w:t xml:space="preserve">Page </w:t>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E14815">
      <w:rPr>
        <w:rFonts w:ascii="Arial" w:hAnsi="Arial" w:cs="Arial"/>
        <w:noProof/>
        <w:sz w:val="20"/>
      </w:rPr>
      <w:t>7</w:t>
    </w:r>
    <w:r w:rsidRPr="00E77F5A">
      <w:rPr>
        <w:rFonts w:ascii="Arial" w:hAnsi="Arial" w:cs="Arial"/>
        <w:noProof/>
        <w:sz w:val="20"/>
      </w:rPr>
      <w:fldChar w:fldCharType="end"/>
    </w:r>
    <w:r w:rsidR="00D16B47">
      <w:rPr>
        <w:rFonts w:ascii="Arial" w:hAnsi="Arial" w:cs="Arial"/>
        <w:noProof/>
        <w:sz w:val="20"/>
      </w:rPr>
      <w:t xml:space="preserve"> of </w:t>
    </w:r>
    <w:r w:rsidR="00D16B47">
      <w:rPr>
        <w:rFonts w:ascii="Arial" w:hAnsi="Arial" w:cs="Arial"/>
        <w:noProof/>
        <w:sz w:val="20"/>
      </w:rPr>
      <w:fldChar w:fldCharType="begin"/>
    </w:r>
    <w:r w:rsidR="00D16B47">
      <w:rPr>
        <w:rFonts w:ascii="Arial" w:hAnsi="Arial" w:cs="Arial"/>
        <w:noProof/>
        <w:sz w:val="20"/>
      </w:rPr>
      <w:instrText xml:space="preserve"> NUMPAGES   \* MERGEFORMAT </w:instrText>
    </w:r>
    <w:r w:rsidR="00D16B47">
      <w:rPr>
        <w:rFonts w:ascii="Arial" w:hAnsi="Arial" w:cs="Arial"/>
        <w:noProof/>
        <w:sz w:val="20"/>
      </w:rPr>
      <w:fldChar w:fldCharType="separate"/>
    </w:r>
    <w:r w:rsidR="00E14815">
      <w:rPr>
        <w:rFonts w:ascii="Arial" w:hAnsi="Arial" w:cs="Arial"/>
        <w:noProof/>
        <w:sz w:val="20"/>
      </w:rPr>
      <w:t>7</w:t>
    </w:r>
    <w:r w:rsidR="00D16B47">
      <w:rPr>
        <w:rFonts w:ascii="Arial" w:hAnsi="Arial" w:cs="Arial"/>
        <w:noProof/>
        <w:sz w:val="20"/>
      </w:rPr>
      <w:fldChar w:fldCharType="end"/>
    </w:r>
  </w:p>
  <w:p w14:paraId="493270DE" w14:textId="77777777"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11" w:name="LASTCURSORPOSITION"/>
    <w:bookmarkEnd w:id="11"/>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270DF"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493270E0"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493270E1"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93270E2"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5F1BA" w14:textId="77777777" w:rsidR="00051F6C" w:rsidRDefault="00051F6C">
      <w:pPr>
        <w:spacing w:after="0" w:line="240" w:lineRule="auto"/>
      </w:pPr>
      <w:r>
        <w:separator/>
      </w:r>
    </w:p>
  </w:footnote>
  <w:footnote w:type="continuationSeparator" w:id="0">
    <w:p w14:paraId="03C615AF" w14:textId="77777777" w:rsidR="00051F6C" w:rsidRDefault="00051F6C">
      <w:pPr>
        <w:spacing w:after="0" w:line="240" w:lineRule="auto"/>
      </w:pPr>
      <w:r>
        <w:continuationSeparator/>
      </w:r>
    </w:p>
  </w:footnote>
  <w:footnote w:type="continuationNotice" w:id="1">
    <w:p w14:paraId="211FFB1A" w14:textId="77777777" w:rsidR="00051F6C" w:rsidRDefault="00051F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270D7" w14:textId="4F2F4375" w:rsidR="006C4CF6" w:rsidRPr="00E77F5A" w:rsidRDefault="00A46384">
    <w:pPr>
      <w:pStyle w:val="Header"/>
      <w:rPr>
        <w:rFonts w:ascii="Arial" w:hAnsi="Arial" w:cs="Arial"/>
        <w:sz w:val="20"/>
      </w:rPr>
    </w:pPr>
    <w:r w:rsidRPr="00E77F5A">
      <w:rPr>
        <w:rFonts w:ascii="Arial" w:hAnsi="Arial" w:cs="Arial"/>
        <w:b/>
        <w:sz w:val="20"/>
      </w:rPr>
      <w:t>Call-Off Schedule 10</w:t>
    </w:r>
    <w:r w:rsidR="007269F5">
      <w:rPr>
        <w:rFonts w:ascii="Arial" w:hAnsi="Arial" w:cs="Arial"/>
        <w:b/>
        <w:sz w:val="20"/>
      </w:rPr>
      <w:t>A</w:t>
    </w:r>
    <w:r w:rsidRPr="00E77F5A">
      <w:rPr>
        <w:rFonts w:ascii="Arial" w:hAnsi="Arial" w:cs="Arial"/>
        <w:b/>
        <w:sz w:val="20"/>
      </w:rPr>
      <w:t xml:space="preserve"> (</w:t>
    </w:r>
    <w:r w:rsidR="008006EE">
      <w:rPr>
        <w:rFonts w:ascii="Arial" w:hAnsi="Arial" w:cs="Arial"/>
        <w:b/>
        <w:sz w:val="20"/>
      </w:rPr>
      <w:t xml:space="preserve">Health </w:t>
    </w:r>
    <w:r w:rsidRPr="00E77F5A">
      <w:rPr>
        <w:rFonts w:ascii="Arial" w:hAnsi="Arial" w:cs="Arial"/>
        <w:b/>
        <w:sz w:val="20"/>
      </w:rPr>
      <w:t>Exit Management)</w:t>
    </w:r>
  </w:p>
  <w:p w14:paraId="493270D8"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493270D9"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14:paraId="493270DA" w14:textId="77777777"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0326851"/>
    <w:multiLevelType w:val="multilevel"/>
    <w:tmpl w:val="A156C91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5" w15:restartNumberingAfterBreak="0">
    <w:nsid w:val="2BCA1CD6"/>
    <w:multiLevelType w:val="multilevel"/>
    <w:tmpl w:val="086681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2F6350"/>
    <w:multiLevelType w:val="hybridMultilevel"/>
    <w:tmpl w:val="7B641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041754C"/>
    <w:multiLevelType w:val="hybridMultilevel"/>
    <w:tmpl w:val="7D022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9C422F"/>
    <w:multiLevelType w:val="hybridMultilevel"/>
    <w:tmpl w:val="68A624D0"/>
    <w:lvl w:ilvl="0" w:tplc="08090001">
      <w:start w:val="1"/>
      <w:numFmt w:val="bullet"/>
      <w:lvlText w:val=""/>
      <w:lvlJc w:val="left"/>
      <w:pPr>
        <w:ind w:left="1480" w:hanging="360"/>
      </w:pPr>
      <w:rPr>
        <w:rFonts w:ascii="Symbol" w:hAnsi="Symbol" w:hint="default"/>
      </w:rPr>
    </w:lvl>
    <w:lvl w:ilvl="1" w:tplc="08090003" w:tentative="1">
      <w:start w:val="1"/>
      <w:numFmt w:val="bullet"/>
      <w:lvlText w:val="o"/>
      <w:lvlJc w:val="left"/>
      <w:pPr>
        <w:ind w:left="2200" w:hanging="360"/>
      </w:pPr>
      <w:rPr>
        <w:rFonts w:ascii="Courier New" w:hAnsi="Courier New" w:cs="Courier New" w:hint="default"/>
      </w:rPr>
    </w:lvl>
    <w:lvl w:ilvl="2" w:tplc="08090005" w:tentative="1">
      <w:start w:val="1"/>
      <w:numFmt w:val="bullet"/>
      <w:lvlText w:val=""/>
      <w:lvlJc w:val="left"/>
      <w:pPr>
        <w:ind w:left="2920" w:hanging="360"/>
      </w:pPr>
      <w:rPr>
        <w:rFonts w:ascii="Wingdings" w:hAnsi="Wingdings" w:hint="default"/>
      </w:rPr>
    </w:lvl>
    <w:lvl w:ilvl="3" w:tplc="08090001" w:tentative="1">
      <w:start w:val="1"/>
      <w:numFmt w:val="bullet"/>
      <w:lvlText w:val=""/>
      <w:lvlJc w:val="left"/>
      <w:pPr>
        <w:ind w:left="3640" w:hanging="360"/>
      </w:pPr>
      <w:rPr>
        <w:rFonts w:ascii="Symbol" w:hAnsi="Symbol" w:hint="default"/>
      </w:rPr>
    </w:lvl>
    <w:lvl w:ilvl="4" w:tplc="08090003" w:tentative="1">
      <w:start w:val="1"/>
      <w:numFmt w:val="bullet"/>
      <w:lvlText w:val="o"/>
      <w:lvlJc w:val="left"/>
      <w:pPr>
        <w:ind w:left="4360" w:hanging="360"/>
      </w:pPr>
      <w:rPr>
        <w:rFonts w:ascii="Courier New" w:hAnsi="Courier New" w:cs="Courier New" w:hint="default"/>
      </w:rPr>
    </w:lvl>
    <w:lvl w:ilvl="5" w:tplc="08090005" w:tentative="1">
      <w:start w:val="1"/>
      <w:numFmt w:val="bullet"/>
      <w:lvlText w:val=""/>
      <w:lvlJc w:val="left"/>
      <w:pPr>
        <w:ind w:left="5080" w:hanging="360"/>
      </w:pPr>
      <w:rPr>
        <w:rFonts w:ascii="Wingdings" w:hAnsi="Wingdings" w:hint="default"/>
      </w:rPr>
    </w:lvl>
    <w:lvl w:ilvl="6" w:tplc="08090001" w:tentative="1">
      <w:start w:val="1"/>
      <w:numFmt w:val="bullet"/>
      <w:lvlText w:val=""/>
      <w:lvlJc w:val="left"/>
      <w:pPr>
        <w:ind w:left="5800" w:hanging="360"/>
      </w:pPr>
      <w:rPr>
        <w:rFonts w:ascii="Symbol" w:hAnsi="Symbol" w:hint="default"/>
      </w:rPr>
    </w:lvl>
    <w:lvl w:ilvl="7" w:tplc="08090003" w:tentative="1">
      <w:start w:val="1"/>
      <w:numFmt w:val="bullet"/>
      <w:lvlText w:val="o"/>
      <w:lvlJc w:val="left"/>
      <w:pPr>
        <w:ind w:left="6520" w:hanging="360"/>
      </w:pPr>
      <w:rPr>
        <w:rFonts w:ascii="Courier New" w:hAnsi="Courier New" w:cs="Courier New" w:hint="default"/>
      </w:rPr>
    </w:lvl>
    <w:lvl w:ilvl="8" w:tplc="08090005" w:tentative="1">
      <w:start w:val="1"/>
      <w:numFmt w:val="bullet"/>
      <w:lvlText w:val=""/>
      <w:lvlJc w:val="left"/>
      <w:pPr>
        <w:ind w:left="7240" w:hanging="360"/>
      </w:pPr>
      <w:rPr>
        <w:rFonts w:ascii="Wingdings" w:hAnsi="Wingdings" w:hint="default"/>
      </w:rPr>
    </w:lvl>
  </w:abstractNum>
  <w:abstractNum w:abstractNumId="11"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1"/>
  </w:num>
  <w:num w:numId="2">
    <w:abstractNumId w:val="1"/>
  </w:num>
  <w:num w:numId="3">
    <w:abstractNumId w:val="4"/>
  </w:num>
  <w:num w:numId="4">
    <w:abstractNumId w:val="11"/>
  </w:num>
  <w:num w:numId="5">
    <w:abstractNumId w:val="0"/>
  </w:num>
  <w:num w:numId="6">
    <w:abstractNumId w:val="11"/>
  </w:num>
  <w:num w:numId="7">
    <w:abstractNumId w:val="11"/>
  </w:num>
  <w:num w:numId="8">
    <w:abstractNumId w:val="2"/>
  </w:num>
  <w:num w:numId="9">
    <w:abstractNumId w:val="11"/>
  </w:num>
  <w:num w:numId="10">
    <w:abstractNumId w:val="11"/>
  </w:num>
  <w:num w:numId="11">
    <w:abstractNumId w:val="8"/>
  </w:num>
  <w:num w:numId="12">
    <w:abstractNumId w:val="7"/>
  </w:num>
  <w:num w:numId="13">
    <w:abstractNumId w:val="3"/>
  </w:num>
  <w:num w:numId="14">
    <w:abstractNumId w:val="9"/>
  </w:num>
  <w:num w:numId="15">
    <w:abstractNumId w:val="6"/>
  </w:num>
  <w:num w:numId="16">
    <w:abstractNumId w:val="10"/>
  </w:num>
  <w:num w:numId="17">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3"/>
  </w:num>
  <w:num w:numId="21">
    <w:abstractNumId w:val="3"/>
  </w:num>
  <w:num w:numId="22">
    <w:abstractNumId w:val="3"/>
  </w:num>
  <w:num w:numId="23">
    <w:abstractNumId w:val="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00AF4"/>
    <w:rsid w:val="000432D9"/>
    <w:rsid w:val="00051F6C"/>
    <w:rsid w:val="00055FA0"/>
    <w:rsid w:val="0006019B"/>
    <w:rsid w:val="00060C30"/>
    <w:rsid w:val="00094F21"/>
    <w:rsid w:val="000A6CB5"/>
    <w:rsid w:val="000D4CEB"/>
    <w:rsid w:val="00124787"/>
    <w:rsid w:val="00140C4C"/>
    <w:rsid w:val="00152681"/>
    <w:rsid w:val="00177170"/>
    <w:rsid w:val="001D2C67"/>
    <w:rsid w:val="002277BD"/>
    <w:rsid w:val="00237CA1"/>
    <w:rsid w:val="002520C0"/>
    <w:rsid w:val="00273072"/>
    <w:rsid w:val="00283CAE"/>
    <w:rsid w:val="002952DC"/>
    <w:rsid w:val="002B6E9C"/>
    <w:rsid w:val="002C185E"/>
    <w:rsid w:val="002E34E0"/>
    <w:rsid w:val="002E6A5D"/>
    <w:rsid w:val="002F73F5"/>
    <w:rsid w:val="003030B1"/>
    <w:rsid w:val="00305EAA"/>
    <w:rsid w:val="00320FBC"/>
    <w:rsid w:val="00327FA4"/>
    <w:rsid w:val="00337031"/>
    <w:rsid w:val="0036003E"/>
    <w:rsid w:val="00393E75"/>
    <w:rsid w:val="003B09FB"/>
    <w:rsid w:val="003B0D69"/>
    <w:rsid w:val="003B15F9"/>
    <w:rsid w:val="003D1FF9"/>
    <w:rsid w:val="003D7AC3"/>
    <w:rsid w:val="00400CE6"/>
    <w:rsid w:val="00421F4C"/>
    <w:rsid w:val="00460B7B"/>
    <w:rsid w:val="004634C9"/>
    <w:rsid w:val="004854D0"/>
    <w:rsid w:val="00512381"/>
    <w:rsid w:val="005148CC"/>
    <w:rsid w:val="005215EB"/>
    <w:rsid w:val="0056079D"/>
    <w:rsid w:val="005620C2"/>
    <w:rsid w:val="00580A08"/>
    <w:rsid w:val="00594E8B"/>
    <w:rsid w:val="005A3F67"/>
    <w:rsid w:val="005B57EF"/>
    <w:rsid w:val="005B68E0"/>
    <w:rsid w:val="005C15E5"/>
    <w:rsid w:val="005E26A7"/>
    <w:rsid w:val="005F0199"/>
    <w:rsid w:val="005F771C"/>
    <w:rsid w:val="00604DA1"/>
    <w:rsid w:val="006161CA"/>
    <w:rsid w:val="00621F7A"/>
    <w:rsid w:val="00624224"/>
    <w:rsid w:val="006352C1"/>
    <w:rsid w:val="006378F8"/>
    <w:rsid w:val="006735DC"/>
    <w:rsid w:val="0067663A"/>
    <w:rsid w:val="00680808"/>
    <w:rsid w:val="006C4CF6"/>
    <w:rsid w:val="006C5529"/>
    <w:rsid w:val="006E6452"/>
    <w:rsid w:val="00701EE7"/>
    <w:rsid w:val="00702ED8"/>
    <w:rsid w:val="00702FB9"/>
    <w:rsid w:val="00711F0E"/>
    <w:rsid w:val="00723FE1"/>
    <w:rsid w:val="007269F5"/>
    <w:rsid w:val="00727DCE"/>
    <w:rsid w:val="00754F98"/>
    <w:rsid w:val="00781AF9"/>
    <w:rsid w:val="007B412D"/>
    <w:rsid w:val="007C133A"/>
    <w:rsid w:val="007F396D"/>
    <w:rsid w:val="008006EE"/>
    <w:rsid w:val="008015BF"/>
    <w:rsid w:val="008174A2"/>
    <w:rsid w:val="008231CF"/>
    <w:rsid w:val="00841632"/>
    <w:rsid w:val="00880EFA"/>
    <w:rsid w:val="00883C92"/>
    <w:rsid w:val="008B613F"/>
    <w:rsid w:val="008C5F18"/>
    <w:rsid w:val="008C78B1"/>
    <w:rsid w:val="008D730C"/>
    <w:rsid w:val="008E539A"/>
    <w:rsid w:val="008E7ECA"/>
    <w:rsid w:val="00942A3A"/>
    <w:rsid w:val="00972DE8"/>
    <w:rsid w:val="00985309"/>
    <w:rsid w:val="009A2F4A"/>
    <w:rsid w:val="009B371B"/>
    <w:rsid w:val="009B6CB9"/>
    <w:rsid w:val="009C3F68"/>
    <w:rsid w:val="009D0EF2"/>
    <w:rsid w:val="009E7BA9"/>
    <w:rsid w:val="009E7C2C"/>
    <w:rsid w:val="00A11F57"/>
    <w:rsid w:val="00A278D5"/>
    <w:rsid w:val="00A3655D"/>
    <w:rsid w:val="00A46384"/>
    <w:rsid w:val="00A57673"/>
    <w:rsid w:val="00A91F2B"/>
    <w:rsid w:val="00AA504A"/>
    <w:rsid w:val="00AD47B4"/>
    <w:rsid w:val="00B23C49"/>
    <w:rsid w:val="00B2493C"/>
    <w:rsid w:val="00B31702"/>
    <w:rsid w:val="00B77FB9"/>
    <w:rsid w:val="00B8163C"/>
    <w:rsid w:val="00B91259"/>
    <w:rsid w:val="00BA433E"/>
    <w:rsid w:val="00BA5C74"/>
    <w:rsid w:val="00BE7892"/>
    <w:rsid w:val="00C35696"/>
    <w:rsid w:val="00C37F50"/>
    <w:rsid w:val="00C5282F"/>
    <w:rsid w:val="00C66040"/>
    <w:rsid w:val="00C732BE"/>
    <w:rsid w:val="00C81437"/>
    <w:rsid w:val="00CA437D"/>
    <w:rsid w:val="00CD140D"/>
    <w:rsid w:val="00CE37CB"/>
    <w:rsid w:val="00D023C1"/>
    <w:rsid w:val="00D053C2"/>
    <w:rsid w:val="00D1650B"/>
    <w:rsid w:val="00D16B47"/>
    <w:rsid w:val="00D2511E"/>
    <w:rsid w:val="00D30471"/>
    <w:rsid w:val="00D417E2"/>
    <w:rsid w:val="00D44333"/>
    <w:rsid w:val="00D568DA"/>
    <w:rsid w:val="00D718B6"/>
    <w:rsid w:val="00D832F6"/>
    <w:rsid w:val="00DA38F1"/>
    <w:rsid w:val="00DC198D"/>
    <w:rsid w:val="00DE5688"/>
    <w:rsid w:val="00DF3FDD"/>
    <w:rsid w:val="00E07B3C"/>
    <w:rsid w:val="00E11A91"/>
    <w:rsid w:val="00E13C6E"/>
    <w:rsid w:val="00E14815"/>
    <w:rsid w:val="00E54A5D"/>
    <w:rsid w:val="00E55A71"/>
    <w:rsid w:val="00E620E9"/>
    <w:rsid w:val="00E73361"/>
    <w:rsid w:val="00E74D9B"/>
    <w:rsid w:val="00E77F5A"/>
    <w:rsid w:val="00E95AFE"/>
    <w:rsid w:val="00ED7A05"/>
    <w:rsid w:val="00EE0837"/>
    <w:rsid w:val="00EE5444"/>
    <w:rsid w:val="00EF3F5D"/>
    <w:rsid w:val="00EF670F"/>
    <w:rsid w:val="00F044D3"/>
    <w:rsid w:val="00F42FA9"/>
    <w:rsid w:val="00F51B38"/>
    <w:rsid w:val="00F57B15"/>
    <w:rsid w:val="00F70E14"/>
    <w:rsid w:val="00F900D4"/>
    <w:rsid w:val="00F932E5"/>
    <w:rsid w:val="00FB41BB"/>
    <w:rsid w:val="00FB5B98"/>
    <w:rsid w:val="00FC30FE"/>
    <w:rsid w:val="00FE5DF9"/>
    <w:rsid w:val="00FF0FB0"/>
    <w:rsid w:val="00FF4283"/>
    <w:rsid w:val="00FF7D6F"/>
    <w:rsid w:val="3268B96A"/>
    <w:rsid w:val="6D4B3D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327012"/>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78F8"/>
    <w:pPr>
      <w:keepNext/>
      <w:keepLines/>
      <w:numPr>
        <w:numId w:val="13"/>
      </w:numPr>
      <w:spacing w:before="240" w:after="0"/>
      <w:ind w:left="709" w:hanging="709"/>
      <w:outlineLvl w:val="0"/>
    </w:pPr>
    <w:rPr>
      <w:rFonts w:ascii="Arial" w:eastAsiaTheme="majorEastAsia" w:hAnsi="Arial" w:cs="Arial"/>
      <w:b/>
      <w:bCs/>
      <w:sz w:val="24"/>
      <w:szCs w:val="24"/>
      <w:lang w:eastAsia="en-GB"/>
    </w:rPr>
  </w:style>
  <w:style w:type="paragraph" w:styleId="Heading2">
    <w:name w:val="heading 2"/>
    <w:basedOn w:val="Normal"/>
    <w:next w:val="Normal"/>
    <w:link w:val="Heading2Char"/>
    <w:uiPriority w:val="9"/>
    <w:unhideWhenUsed/>
    <w:qFormat/>
    <w:rsid w:val="006378F8"/>
    <w:pPr>
      <w:keepNext/>
      <w:keepLines/>
      <w:numPr>
        <w:ilvl w:val="1"/>
        <w:numId w:val="13"/>
      </w:numPr>
      <w:spacing w:before="40" w:after="0"/>
      <w:ind w:left="709" w:hanging="709"/>
      <w:outlineLvl w:val="1"/>
    </w:pPr>
    <w:rPr>
      <w:rFonts w:ascii="Arial" w:eastAsiaTheme="majorEastAsia" w:hAnsi="Arial" w:cs="Arial"/>
      <w:sz w:val="24"/>
      <w:szCs w:val="24"/>
    </w:rPr>
  </w:style>
  <w:style w:type="paragraph" w:styleId="Heading3">
    <w:name w:val="heading 3"/>
    <w:basedOn w:val="Normal"/>
    <w:next w:val="Normal"/>
    <w:link w:val="Heading3Char"/>
    <w:uiPriority w:val="9"/>
    <w:unhideWhenUsed/>
    <w:qFormat/>
    <w:rsid w:val="00DF3FDD"/>
    <w:pPr>
      <w:keepNext/>
      <w:keepLines/>
      <w:numPr>
        <w:ilvl w:val="2"/>
        <w:numId w:val="13"/>
      </w:numPr>
      <w:spacing w:before="120" w:after="120"/>
      <w:outlineLvl w:val="2"/>
    </w:pPr>
    <w:rPr>
      <w:rFonts w:ascii="Arial" w:eastAsiaTheme="majorEastAsia" w:hAnsi="Arial" w:cs="Arial"/>
      <w:sz w:val="24"/>
      <w:szCs w:val="24"/>
    </w:rPr>
  </w:style>
  <w:style w:type="paragraph" w:styleId="Heading4">
    <w:name w:val="heading 4"/>
    <w:basedOn w:val="Normal"/>
    <w:next w:val="Normal"/>
    <w:link w:val="Heading4Char"/>
    <w:uiPriority w:val="9"/>
    <w:semiHidden/>
    <w:unhideWhenUsed/>
    <w:qFormat/>
    <w:rsid w:val="00C37F50"/>
    <w:pPr>
      <w:keepNext/>
      <w:keepLines/>
      <w:numPr>
        <w:ilvl w:val="3"/>
        <w:numId w:val="17"/>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37F50"/>
    <w:pPr>
      <w:keepNext/>
      <w:keepLines/>
      <w:numPr>
        <w:ilvl w:val="4"/>
        <w:numId w:val="17"/>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37F50"/>
    <w:pPr>
      <w:keepNext/>
      <w:keepLines/>
      <w:numPr>
        <w:ilvl w:val="5"/>
        <w:numId w:val="1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7F50"/>
    <w:pPr>
      <w:keepNext/>
      <w:keepLines/>
      <w:numPr>
        <w:ilvl w:val="6"/>
        <w:numId w:val="1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37F50"/>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37F50"/>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table" w:customStyle="1" w:styleId="Capita-Blue1">
    <w:name w:val="Capita - Blue1"/>
    <w:basedOn w:val="TableNormal"/>
    <w:next w:val="TableGrid"/>
    <w:uiPriority w:val="99"/>
    <w:rsid w:val="00E74D9B"/>
    <w:pPr>
      <w:spacing w:after="0" w:line="240" w:lineRule="auto"/>
      <w:jc w:val="both"/>
    </w:pPr>
    <w:rPr>
      <w:rFonts w:ascii="Verdana" w:eastAsia="Verdana" w:hAnsi="Verdana" w:cs="Verdan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2Numbered">
    <w:name w:val="GPS L2 Numbered"/>
    <w:basedOn w:val="Normal"/>
    <w:link w:val="GPSL2NumberedChar"/>
    <w:qFormat/>
    <w:rsid w:val="00594E8B"/>
    <w:pPr>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sid w:val="00594E8B"/>
    <w:rPr>
      <w:rFonts w:ascii="Calibri" w:eastAsia="Times New Roman" w:hAnsi="Calibri" w:cs="Arial"/>
      <w:lang w:eastAsia="zh-CN"/>
    </w:rPr>
  </w:style>
  <w:style w:type="paragraph" w:styleId="Revision">
    <w:name w:val="Revision"/>
    <w:hidden/>
    <w:uiPriority w:val="99"/>
    <w:semiHidden/>
    <w:rsid w:val="00400CE6"/>
    <w:pPr>
      <w:spacing w:after="0" w:line="240" w:lineRule="auto"/>
    </w:pPr>
  </w:style>
  <w:style w:type="paragraph" w:customStyle="1" w:styleId="Heading1S10">
    <w:name w:val="Heading 1_S10"/>
    <w:basedOn w:val="Normal"/>
    <w:link w:val="Heading1S10Char"/>
    <w:qFormat/>
    <w:rsid w:val="00C35696"/>
    <w:pPr>
      <w:spacing w:before="240" w:after="120" w:line="240" w:lineRule="auto"/>
      <w:ind w:left="432" w:hanging="432"/>
      <w:contextualSpacing/>
      <w:jc w:val="both"/>
    </w:pPr>
    <w:rPr>
      <w:rFonts w:ascii="Arial" w:eastAsia="Verdana" w:hAnsi="Arial" w:cs="Arial"/>
      <w:b/>
      <w:bCs/>
      <w:sz w:val="24"/>
      <w:szCs w:val="24"/>
      <w:lang w:eastAsia="en-GB"/>
    </w:rPr>
  </w:style>
  <w:style w:type="paragraph" w:customStyle="1" w:styleId="Heading2S10">
    <w:name w:val="Heading 2_S10"/>
    <w:basedOn w:val="Normal"/>
    <w:link w:val="Heading2S10Char"/>
    <w:qFormat/>
    <w:rsid w:val="00305EAA"/>
    <w:pPr>
      <w:spacing w:before="240" w:after="120" w:line="240" w:lineRule="auto"/>
      <w:contextualSpacing/>
      <w:jc w:val="both"/>
    </w:pPr>
    <w:rPr>
      <w:rFonts w:ascii="Arial" w:eastAsia="Verdana" w:hAnsi="Arial" w:cs="Arial"/>
      <w:sz w:val="24"/>
      <w:szCs w:val="24"/>
      <w:lang w:eastAsia="en-GB"/>
    </w:rPr>
  </w:style>
  <w:style w:type="character" w:customStyle="1" w:styleId="Heading1S10Char">
    <w:name w:val="Heading 1_S10 Char"/>
    <w:basedOn w:val="DefaultParagraphFont"/>
    <w:link w:val="Heading1S10"/>
    <w:rsid w:val="00C35696"/>
    <w:rPr>
      <w:rFonts w:ascii="Arial" w:eastAsia="Verdana" w:hAnsi="Arial" w:cs="Arial"/>
      <w:b/>
      <w:bCs/>
      <w:sz w:val="24"/>
      <w:szCs w:val="24"/>
      <w:lang w:eastAsia="en-GB"/>
    </w:rPr>
  </w:style>
  <w:style w:type="paragraph" w:customStyle="1" w:styleId="Heading3S10">
    <w:name w:val="Heading 3 _S10"/>
    <w:basedOn w:val="Heading2S10"/>
    <w:link w:val="Heading3S10Char"/>
    <w:qFormat/>
    <w:rsid w:val="00E07B3C"/>
    <w:pPr>
      <w:numPr>
        <w:ilvl w:val="2"/>
      </w:numPr>
    </w:pPr>
  </w:style>
  <w:style w:type="character" w:customStyle="1" w:styleId="Heading2S10Char">
    <w:name w:val="Heading 2_S10 Char"/>
    <w:basedOn w:val="DefaultParagraphFont"/>
    <w:link w:val="Heading2S10"/>
    <w:rsid w:val="00305EAA"/>
    <w:rPr>
      <w:rFonts w:ascii="Arial" w:eastAsia="Verdana" w:hAnsi="Arial" w:cs="Arial"/>
      <w:sz w:val="24"/>
      <w:szCs w:val="24"/>
      <w:lang w:eastAsia="en-GB"/>
    </w:rPr>
  </w:style>
  <w:style w:type="character" w:customStyle="1" w:styleId="Heading1Char">
    <w:name w:val="Heading 1 Char"/>
    <w:basedOn w:val="DefaultParagraphFont"/>
    <w:link w:val="Heading1"/>
    <w:uiPriority w:val="9"/>
    <w:rsid w:val="006378F8"/>
    <w:rPr>
      <w:rFonts w:ascii="Arial" w:eastAsiaTheme="majorEastAsia" w:hAnsi="Arial" w:cs="Arial"/>
      <w:b/>
      <w:bCs/>
      <w:sz w:val="24"/>
      <w:szCs w:val="24"/>
      <w:lang w:eastAsia="en-GB"/>
    </w:rPr>
  </w:style>
  <w:style w:type="character" w:customStyle="1" w:styleId="Heading3S10Char">
    <w:name w:val="Heading 3 _S10 Char"/>
    <w:basedOn w:val="Heading2S10Char"/>
    <w:link w:val="Heading3S10"/>
    <w:rsid w:val="00E07B3C"/>
    <w:rPr>
      <w:rFonts w:ascii="Arial" w:eastAsia="Verdana" w:hAnsi="Arial" w:cs="Arial"/>
      <w:sz w:val="24"/>
      <w:szCs w:val="24"/>
      <w:lang w:eastAsia="en-GB"/>
    </w:rPr>
  </w:style>
  <w:style w:type="character" w:customStyle="1" w:styleId="Heading2Char">
    <w:name w:val="Heading 2 Char"/>
    <w:basedOn w:val="DefaultParagraphFont"/>
    <w:link w:val="Heading2"/>
    <w:uiPriority w:val="9"/>
    <w:rsid w:val="006378F8"/>
    <w:rPr>
      <w:rFonts w:ascii="Arial" w:eastAsiaTheme="majorEastAsia" w:hAnsi="Arial" w:cs="Arial"/>
      <w:sz w:val="24"/>
      <w:szCs w:val="24"/>
    </w:rPr>
  </w:style>
  <w:style w:type="character" w:customStyle="1" w:styleId="Heading3Char">
    <w:name w:val="Heading 3 Char"/>
    <w:basedOn w:val="DefaultParagraphFont"/>
    <w:link w:val="Heading3"/>
    <w:uiPriority w:val="9"/>
    <w:rsid w:val="00DF3FDD"/>
    <w:rPr>
      <w:rFonts w:ascii="Arial" w:eastAsiaTheme="majorEastAsia" w:hAnsi="Arial" w:cs="Arial"/>
      <w:sz w:val="24"/>
      <w:szCs w:val="24"/>
    </w:rPr>
  </w:style>
  <w:style w:type="character" w:customStyle="1" w:styleId="Heading4Char">
    <w:name w:val="Heading 4 Char"/>
    <w:basedOn w:val="DefaultParagraphFont"/>
    <w:link w:val="Heading4"/>
    <w:uiPriority w:val="9"/>
    <w:semiHidden/>
    <w:rsid w:val="005F771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5F771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5F771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5F771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5F77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F771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 U K M A T T E R S ! 1 0 4 8 2 9 1 7 7 . 1 < / d o c u m e n t i d >  
     < s e n d e r i d > P R E S T O A < / s e n d e r i d >  
     < s e n d e r e m a i l > A L E X A N D E R . P R E S T O N @ D L A P I P E R . C O M < / s e n d e r e m a i l >  
     < l a s t m o d i f i e d > 2 0 2 0 - 0 8 - 1 4 T 1 1 : 3 0 : 0 0 . 0 0 0 0 0 0 0 + 0 1 : 0 0 < / l a s t m o d i f i e d >  
     < d a t a b a s e > U K M A T T E R S < / d a t a b a s e >  
 < / p r o p e r t i e s > 
</file>

<file path=customXml/item5.xml>��< ? x m l   v e r s i o n = " 1 . 0 "   e n c o d i n g = " u t f - 1 6 " ? > < p r o p e r t i e s   x m l n s = " h t t p : / / w w w . i m a n a g e . c o m / w o r k / x m l s c h e m a " >  
     < d o c u m e n t i d > U K M A T T E R S ! 1 0 4 7 6 9 4 7 9 . 1 < / d o c u m e n t i d >  
     < s e n d e r i d > P R E S T O A < / s e n d e r i d >  
     < s e n d e r e m a i l > A L E X A N D E R . P R E S T O N @ D L A P I P E R . C O M < / s e n d e r e m a i l >  
     < l a s t m o d i f i e d > 2 0 2 0 - 0 8 - 1 3 T 1 8 : 5 9 : 0 0 . 0 0 0 0 0 0 0 + 0 1 : 0 0 < / l a s t m o d i f i e d >  
     < d a t a b a s e > U K M A T T E R S < / d a t a b a s e >  
 < / 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176AB-3A08-4254-BECA-29D01ED389AA}">
  <ds:schemaRefs>
    <ds:schemaRef ds:uri="http://schemas.microsoft.com/sharepoint/v3/contenttype/forms"/>
  </ds:schemaRefs>
</ds:datastoreItem>
</file>

<file path=customXml/itemProps2.xml><?xml version="1.0" encoding="utf-8"?>
<ds:datastoreItem xmlns:ds="http://schemas.openxmlformats.org/officeDocument/2006/customXml" ds:itemID="{4F26445A-2518-44E3-893F-9DFE6C33BD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e54d426-3d83-4661-9a9f-e9903de7d154"/>
    <ds:schemaRef ds:uri="http://www.w3.org/XML/1998/namespace"/>
    <ds:schemaRef ds:uri="http://purl.org/dc/dcmitype/"/>
  </ds:schemaRefs>
</ds:datastoreItem>
</file>

<file path=customXml/itemProps3.xml><?xml version="1.0" encoding="utf-8"?>
<ds:datastoreItem xmlns:ds="http://schemas.openxmlformats.org/officeDocument/2006/customXml" ds:itemID="{2F51CAD1-7BF9-4958-ADAD-B3062E2F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584D9-FB44-4D12-9F2B-03C07C0CCA44}">
  <ds:schemaRefs>
    <ds:schemaRef ds:uri="http://www.imanage.com/work/xmlschema"/>
  </ds:schemaRefs>
</ds:datastoreItem>
</file>

<file path=customXml/itemProps5.xml><?xml version="1.0" encoding="utf-8"?>
<ds:datastoreItem xmlns:ds="http://schemas.openxmlformats.org/officeDocument/2006/customXml" ds:itemID="{AE6FEEC7-D6EF-4F1E-9D8B-8FF30308EC3E}">
  <ds:schemaRefs>
    <ds:schemaRef ds:uri="http://www.imanage.com/work/xmlschema"/>
  </ds:schemaRefs>
</ds:datastoreItem>
</file>

<file path=customXml/itemProps6.xml><?xml version="1.0" encoding="utf-8"?>
<ds:datastoreItem xmlns:ds="http://schemas.openxmlformats.org/officeDocument/2006/customXml" ds:itemID="{59D33626-8FFB-43BA-BD6E-88974AC8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7</Pages>
  <Words>1604</Words>
  <Characters>9146</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Eileen Waters</cp:lastModifiedBy>
  <cp:revision>2</cp:revision>
  <dcterms:created xsi:type="dcterms:W3CDTF">2020-08-17T16:45:00Z</dcterms:created>
  <dcterms:modified xsi:type="dcterms:W3CDTF">2020-08-17T16:45:00Z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0x010100CAEBB98DB690C54A88A491298E3AFEFC</vt:lpwstr>
  </property>
  <property fmtid="{D5CDD505-2E9C-101B-9397-08002B2CF9AE}" pid="8" name="Plato EditorId">
    <vt:lpwstr>ddc7b730-a02d-43fd-89a0-32210bc6dd58</vt:lpwstr>
  </property>
</Properties>
</file>